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522 vom 14. Juni 2013</w:t>
      </w:r>
    </w:p>
    <w:p>
      <w:r>
        <w:t>VD Tribunal cantonal, 2013-06-14, FR</w:t>
      </w:r>
    </w:p>
    <w:p>
      <w:r>
        <w:rPr>
          <w:b/>
        </w:rPr>
        <w:t xml:space="preserve">Quelle: </w:t>
      </w:r>
      <w:r>
        <w:t>https://mcp.opencaselaw.ch/entscheid/vd_findinfo_D_cision___2013___522</w:t>
      </w:r>
    </w:p>
    <w:p>
      <w:r>
        <w:t>FR: VD_FINDINFO Décision / 2013 / 522 du 14 juin 2013</w:t>
      </w:r>
    </w:p>
    <w:p>
      <w:r>
        <w:t>IT: VD_FINDINFO Décision / 2013 / 522 del 14 giugno 2013</w:t>
      </w:r>
    </w:p>
    <w:p>
      <w:pPr>
        <w:pStyle w:val="Heading2"/>
      </w:pPr>
      <w:r>
        <w:t>Regeste</w:t>
      </w:r>
    </w:p>
    <w:p>
      <w:r>
        <w:t>DÉTENTION PRÉVENTIVE, RISQUE DE COLLUSION | 221 al. 1 let. b CPP (CH), 221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w:t>
      </w:r>
    </w:p>
    <w:p>
      <w:r>
        <w:rPr>
          <w:b/>
        </w:rPr>
        <w:t>E. 2</w:t>
      </w:r>
    </w:p>
    <w:p>
      <w:r>
        <w:t>a) L'art. 212 al. 3 CPP prévoit que la détention provisoire et la détention pour des motifs de sûreté ne doivent pas durer plus longtemps que la peine privative de liberté prévisible.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w:t>
      </w:r>
    </w:p>
    <w:p>
      <w:r>
        <w:rPr>
          <w:b/>
        </w:rPr>
        <w:t>E. 3</w:t>
      </w:r>
    </w:p>
    <w:p>
      <w:r>
        <w:t>a) En l’espèce, le recourant ne nie à juste titre pas l’existence de présomptions sérieuses de culpabilité à son encontre (recours, pp. 2-3). En revanche, il conteste l’existence d’un risque de collusion suffisant pour justifier son placement en détention provisoire pour une durée maximale de trois mois (recours, pp. 2-4). Il soutient que les investigations concrètes que la direction de la procédure entend mener selon un rapport de police figurant au dossier (contrôle de la téléphonie mobile afin d’identifier de potentiels clients ou fournisseurs, recherches d’empreintes digitales et/ou d’ADN sur les drogues retrouvées et analyses des produits stupéfiants) sont d’une nature telle que, même s’il le voulait, il n’aurait de toute manière aucune possibilité d’influer sur la recherche de la vérité. Certes, le recourant n’a pas la possibilité d’influer sur ces investigations. Néanmoins, celles-ci sont manifestement susceptibles, vu l’ampleur du trafic dont le recourant est soupçonné à ce stade de la procédure, de permettre rapidement d’identifier des fournisseurs, des clients ou des éventuels complices. Or il est à craindre que le recourant, s’il devait être immédiatement libéré de la détention provisoire, ne prenne contact avec ces personnes pour compromettre la recherche de la vérité en tentant d’influencer leurs déclarations ou de faire disparaître, respectivement d’altérer des preuves qui seraient en leur possession. Il doit en particulier être relevé que le recourant a fait état d’un fournisseur qui lui aurait, peu avant son arrestation, vendu l’ensemble de la drogue saisie, individu dont il n’a pas révélé l’identité. L’ampleur du trafic dont le prévenu est soupçonné à ce stade de la procédure paraît révélatrice de l’activité d’un réseau, au sein duquel il occuperait une place suffisamment importante pour qu’il lui soit fait don d’une arme à feu. Ces éléments accroissent le risque de collusion, lequel doit donc être tenu pour avéré au sens de la loi. b)              Le recourant se plaint en outre d’une violation du principe de la proportionnalité. Il soutient qu’il n’est pas admissible de prononcer la détention provisoire pour une durée plus longue que ce qui est nécessaire aux mesures d’instruction préconisées (recours, pp. 5-6). Toutefois, du moment que la détention provisoire constitue la seule manière efficace de prévenir le risque de collusion retenu et qu’il n’est pas possible, à ce stade de la procédure, d’apprécier la durée nécessaire pour mener à bien les mesures d’instruction qui permettront notamment de cerner l’ampleur du trafic auquel a pu se livrer le recourant et d’identifier ses fournisseurs – et pourraient le cas échéant faire apparaître un risque de collusion ultérieur –, il ne saurait être reproché au Tribunal des mesures de contrainte de ne pas avoir limité la durée initiale de la détention en deçà de la limite supérieure découlant de la loi (art. 227 al. 1 CPP). Au stade actuel de l’enquête, le seul moyen propre à parer au risque de collusion est la détention provisoire. Il doit toutefois être rappelé qu’il appartient au procureur de libérer un prévenu aussitôt qu’il n’existe plus de motifs de détention au sens de l’art. 221 al. 1 CPP. Les conditions légales étant alternatives, et non cumulatives, point n’est besoin d’examiner les autres motifs légaux de la détention provisoire (TF 1B_249/2011 du 7 juin 2011 c. 2.4; Forster, op. cit., n. 4 ad art. 221 CPP, p. 1460).</w:t>
      </w:r>
    </w:p>
    <w:p>
      <w:r>
        <w:rPr>
          <w:b/>
        </w:rPr>
        <w:t>E. 4</w:t>
      </w:r>
    </w:p>
    <w:p>
      <w:r>
        <w:t>Il résulte de ce qui précède que c’est à bon droit que le Tribunal des mesures de contrainte a estimé que les conditions d’une mise en détention provisoire du prévenu étaient réunies en l'état. Au surplus, le terme prévu au 31 août 2013 ne prête pas le flanc à la critique, vu l'état de l'enquête, qui ne fait que débuter. Partant, le recours, manifestement mal fondé, doit être rejeté sans autres échanges d’écritures (art. 390 al. 2 CPP). Les frais de la procédure de recours, constitués en l’espèce de l'émolument d'arrêt (art. 422 al. 1 CPP), par 770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 er juin 2013 est confirmée. III. L'indemnité allouée au défenseur d'office du recourant est fixée à 486 fr. (quatre cent huitante-six francs). IV. Les frais du présent arrêt, par 770 fr. (sept cent septante francs), ainsi que l’indemnité due au défenseur d’office du recourant selon le chiffre III ci-dessus, par 486 fr. (quatre cent huitante-six francs), sont mis à la charge de ce dernier. V. Le remboursement à l'Etat de l'indemnité allouée au chiffre III ci-dessus sera exigible pour autant que la situation économique du recourant se soit améliorée. VI. Le présent arrêt est exécutoire. Le président : Le greffier : Du L'arrêt qui précède, dont la rédaction a été approuvée à huis clos, est notifié, par l'envoi d'une copie complète, à : - M. Raphaël Brochellaz, avocat (pour J.________), - Ministère public central, et communiqué à : ‑ Madame la Présidente du Tribunal des mesures de contrainte, - Monsieur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