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495 vom 8. Mai 2013</w:t>
      </w:r>
    </w:p>
    <w:p>
      <w:r>
        <w:t>VD Tribunal cantonal, 2013-05-08, FR</w:t>
      </w:r>
    </w:p>
    <w:p>
      <w:r>
        <w:rPr>
          <w:b/>
        </w:rPr>
        <w:t xml:space="preserve">Quelle: </w:t>
      </w:r>
      <w:r>
        <w:t>https://mcp.opencaselaw.ch/entscheid/vd_findinfo_D_cision___2013___495</w:t>
      </w:r>
    </w:p>
    <w:p>
      <w:r>
        <w:t>FR: VD_FINDINFO Décision / 2013 / 495 du 8 mai 2013</w:t>
      </w:r>
    </w:p>
    <w:p>
      <w:r>
        <w:t>IT: VD_FINDINFO Décision / 2013 / 495 del 8 maggio 2013</w:t>
      </w:r>
    </w:p>
    <w:p>
      <w:pPr>
        <w:pStyle w:val="Heading2"/>
      </w:pPr>
      <w:r>
        <w:t>Regeste</w:t>
      </w:r>
    </w:p>
    <w:p>
      <w:r>
        <w:t>DÉCISION D'IRRECEVABILITÉ, TIERS, DIFFAMATION, CALOMNIE, DEVOIR PROFESSIONNEL | 173 CP, 174 CP, 310 CPP (CH), 393 al. 1 let. a CPP (CH)</w:t>
      </w:r>
    </w:p>
    <w:p>
      <w:pPr>
        <w:pStyle w:val="Heading2"/>
      </w:pPr>
      <w:r>
        <w:t>Erwägungen</w:t>
      </w:r>
    </w:p>
    <w:p>
      <w:r>
        <w:rPr>
          <w:b/>
        </w:rPr>
        <w:t>E. 1</w:t>
      </w:r>
    </w:p>
    <w:p>
      <w:r>
        <w:t>Déposé en temps utile (art. 322 al.</w:t>
      </w:r>
    </w:p>
    <w:p>
      <w:r>
        <w:rPr>
          <w:b/>
        </w:rPr>
        <w:t>E. 2</w:t>
      </w:r>
    </w:p>
    <w:p>
      <w:r>
        <w:t>a)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Il est donc nécessaire qu’il apparaisse d’emblée que l’un des éléments constitutifs de l’infraction fait manifestement défaut (Cornu, in :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est en mesure d’apporter des éléments susceptibles de renforcer les charges contre la personne visée. Ce n’est que si aucun acte d’enquête ne paraît pouvoir amener des éléments utiles que le Ministère public peut rendre une ordonnance de non-entrée en matière. b) En vertu de l’art. 391 al. 1 CPP, l’autorité de recours, lorsqu’elle rend sa décision, n’est pas liée ni par les motifs invoqués par les parties, ni par leurs conclusions.</w:t>
      </w:r>
    </w:p>
    <w:p>
      <w:r>
        <w:rPr>
          <w:b/>
        </w:rPr>
        <w:t>E. 3</w:t>
      </w:r>
    </w:p>
    <w:p>
      <w:r>
        <w:t>Les recourants reprochent au Ministère public d’avoir considéré que l’infraction de diffamation n’était pas réalisée.</w:t>
      </w:r>
    </w:p>
    <w:p>
      <w:r>
        <w:rPr>
          <w:b/>
        </w:rPr>
        <w:t>E. 3.1</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ch. 1 CP protège la réputation d'être un homme honorable, c'est-à-dire de se comporter comme un homme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I/A/1a). La diffamation suppose une allégation de fait et non un simple jugement de valeur (ATF 117 IV 27 c. 2c). Les éléments constitutifs de la diffamation sont les suivants : une atteinte à l’honneur, une communication à un tiers, l’intention.</w:t>
      </w:r>
    </w:p>
    <w:p>
      <w:r>
        <w:rPr>
          <w:b/>
        </w:rPr>
        <w:t>E. 3.2</w:t>
      </w:r>
    </w:p>
    <w:p>
      <w:r>
        <w:t>S’agissant de la calomnie au sens de l’art. 174 CP, cette infraction constitue une forme qualifiée de diffamation. En sus de remplir les éléments constitutifs de la diffamation, l’auteur sait que ce qu’il allègue est faux. Les éléments constitutifs de la calomnie sont une atteinte à l’honneur, la communication à un tiers, la fausseté du fait allégué et l’intention (Dupuis et al., Petit Commentaire du Code pénal, Bâle 2012, n. 5 ad art. 174 CP et les références citées).</w:t>
      </w:r>
    </w:p>
    <w:p>
      <w:r>
        <w:rPr>
          <w:b/>
        </w:rPr>
        <w:t>E. 3.3</w:t>
      </w:r>
    </w:p>
    <w:p>
      <w:r>
        <w:t>En l’espèce, dans sa correspondance du 16 mai 2011, Me Gilles Robert-Nicoud a notamment écrit « il y a là un vrai montage astucieux de la part de B.T.________. Vous n’ignorez pas les conséquences pénales qui peuvent en découler ». Il y a bien accusation d’escroquerie et, partant, de sérieux indices d’atteinte à l’honneur.</w:t>
      </w:r>
    </w:p>
    <w:p>
      <w:r>
        <w:rPr>
          <w:b/>
        </w:rPr>
        <w:t>E. 3.4</w:t>
      </w:r>
    </w:p>
    <w:p>
      <w:r>
        <w:t>Cela étant, les art. 173 et 174 CP supposent que les propos attentatoires à l’honneur aient été communiqués à un tiers. Par tiers, on entend une autre personne que l’auteur ou la victime de la diffamation (Dupuis et al., Petit Commentaire du Code pénal, Bâle 2012, n. 18 ad art. 173 CP, p. 1020 et les références citées). Le Tribunal fédéral considère qu’il peut notamment s’agir de l’avocat de l’auteur (ATF 86 IV 209). Toutefois, la Haute Cour admet que les allégations attentatoires à l'honneur émanant d'un avocat dans un procès sont justifiées par le devoir de plaider la cause et par le devoir de profession, pour autant qu'elles soient pertinentes, qu'elles n'aillent pas au-delà de ce qui est nécessaire, qu'elles ne soient pas inutilement blessantes, et qu'elles ne soient pas propagées de mauvaise foi; de simples suppositions devant être présentées comme telles (ATF 131 IV 154 c. 1.3 ; ATF 118 IV 248 c. 2c ; ATF 116 IV 211). Par exemple, au cours d'une plaidoirie relative à l'attribution de la garde d'un enfant, l'allégation d'un avocat selon laquelle les moyens utilisés par la partie adverse ne seraient "pas légaux" se justifiait (ATF 131 IV 154 c. 1.4).</w:t>
      </w:r>
    </w:p>
    <w:p>
      <w:r>
        <w:rPr>
          <w:b/>
        </w:rPr>
        <w:t>E. 3.5</w:t>
      </w:r>
    </w:p>
    <w:p>
      <w:r>
        <w:t>En l’espèce, les propos figurant dans la correspondance précitée n’ont été communiqués qu’au conseil des plaignants. Certes, comme on l’a vu, le tiers en question peut notamment être l’avocat de l’auteur et à plus forte raison l’avocat de la victime. Toutefois, dans le cas présent, reconnaître la qualité de tiers à l’avocat des recourants conduirait à brider la faculté des parties de se défendre dans les litiges pré-judiciaires ou para-judiciaires, alors que les déclarations attentatoires à l'honneur émanant d'un avocat dans un procès peuvent, selon la jurisprudence, être justifiées par le devoir de plaider la cause et par le devoir de profession, dans la mesure exposée ci-dessus (cf. c. 3.4 supra ). A cet égard, il sied de préciser que A.T.________ et B.T.________ ont déclaré donner mandat à titre individuel à Me Alain Dubuis aux fins de les représenter et d’agir en leurs noms dans le cadre du litige civil les opposant à D.________ et M.________. Des échanges d’écritures ont d’ailleurs précédemment eu lieu directement entre les conseils des parties en relation avec le conflit civil (P. 6). Au demeurant, comme le relève le conseil des intimés dans ses déterminations du 26 avril 2013, les règles déontologiques de la profession d’avocat empêchent, sauf exception, le conseil d’une partie de s’adresser directement à la partie adverse si elle a consulté un avocat (art. 28 du Code suisse de déontologie établi par la Fédération suisse des avocats). Pour ces raisons, la Cour retient que les propos litigieux n’ont pas été adressés à une personne qui devrait en l’espèce être considérée comme un tiers au sens des art. 173 et 174 CP.</w:t>
      </w:r>
    </w:p>
    <w:p>
      <w:r>
        <w:rPr>
          <w:b/>
        </w:rPr>
        <w:t>E. 3.6</w:t>
      </w:r>
    </w:p>
    <w:p>
      <w:r>
        <w:t>Il s’ensuit qu’en l’absence de réalisation de l’ensemble des éléments constitutifs objectifs des infractions de diffamation et de calomnie, à savoir la communication à un tiers, c’est à bon droit que le Procureur a rendu une ordonnance de non-entrée en matière.</w:t>
      </w:r>
    </w:p>
    <w:p>
      <w:r>
        <w:rPr>
          <w:b/>
        </w:rPr>
        <w:t>E. 4</w:t>
      </w:r>
    </w:p>
    <w:p>
      <w:r>
        <w:t>En définitive, le recours de A.T.________ et B.T.________, manifestement mal fondé, doit être rejeté et l’ordonnance de non-entrée en matière du Procureur de l'arrondissement du Nord Vaudois confirmée. Les frais de la procédure de recours, constitués en l’espèce de l’émolument d'arrêt, par 660 fr. (art. 20 al. 1 TFJP [tarif des frais judiciaires pénaux; RSV 312.03.1]), seront mis à la charge des recourants, qui succombent (art. 428 al. 1 CPP), à parts égales solidairement entre eux (art. 418 al. 1 et 2 CPP). Par ces motifs, la Chambre des recours pénale, statuant à huis clos prononce : I. Le recours est rejeté. II. L’ordonnance de non-entrée en matière est confirmée. III. Les frais de la procédure de recours, par 660 fr. (six cent soixante francs), sont mis à la charge des recourants A.T.________ et B.T.________, à parts égales et solidairement entre eux. IV. Le présent arrêt est exécutoire. Le vice-président : La greffière : Du L'arrêt qui précède, dont la rédaction a été approuvée à huis clos, est notifié, par l'envoi d'une copie complète, à : - Me Alain Dubuis, avocat (pour A.T.________ et B.T.________), - Me Gilles Robert-Nicoud, avocat (pour D.________ et M.________), - Ministère public central, et communiqué à : - M. le Premier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