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487 vom 3. Juni 2013</w:t>
      </w:r>
    </w:p>
    <w:p>
      <w:r>
        <w:t>VD Tribunal cantonal, 2013-06-03, FR</w:t>
      </w:r>
    </w:p>
    <w:p>
      <w:r>
        <w:rPr>
          <w:b/>
        </w:rPr>
        <w:t xml:space="preserve">Quelle: </w:t>
      </w:r>
      <w:r>
        <w:t>https://mcp.opencaselaw.ch/entscheid/vd_findinfo_D_cision___2013___487</w:t>
      </w:r>
    </w:p>
    <w:p>
      <w:r>
        <w:t>FR: VD_FINDINFO Décision / 2013 / 487 du 3 juin 2013</w:t>
      </w:r>
    </w:p>
    <w:p>
      <w:r>
        <w:t>IT: VD_FINDINFO Décision / 2013 / 487 del 3 giugno 2013</w:t>
      </w:r>
    </w:p>
    <w:p>
      <w:pPr>
        <w:pStyle w:val="Heading2"/>
      </w:pPr>
      <w:r>
        <w:t>Regeste</w:t>
      </w:r>
    </w:p>
    <w:p>
      <w:r>
        <w:t>DÉTENTION PRÉVENTIVE, CONTRÔLE DE LA DÉTENTION, DÉTENTION ILLICITE, RISQUE DE FUITE, SOUPÇON | 3 CEDH, 221 al. 1 let. a CPP (CH), 234 al. 1 CPP (CH), 235 CPP (CH), 27 LVCPP</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par le prévenu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posées à l'art. 221 al.1 CPP sont alternatives et non cumulatives (CREP, 11 janvier 2012/6 c. 2). La détention provisoire et la détention pour des motifs de sûreté ne doivent pas durer plus longtemps que la peine privative de liberté prévisible (art. 212 al. 3 CPP). b)              En premier lieu, le recourant conteste l’existence de « forts soupçons » à son égard. Il fait valoir que l’absence de preuve au dossier concernant l’infraction de brigandage ne permettrait pas de justifier sa mise en détention provisoire. Pour qu'une personne puisse être placée en détention provisoire, il faut qu'il existe à son égard des charges suffisantes ou des indices sérieux de culpabilité, c'est-à-dire des raisons plausibles de la soupçonner d'avoir commis un crime ou un délit. Il n'appartient toutefois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 p. 126 s.; ATF 116 Ia 143 c. 3c p. 146; Piquerez, Traité de procédure pénale suisse, 2 e éd., 2006, p. 540 et les références citées). En l’espèce, c'est à tort que le recourant conteste l'existence de charges suffisantes à son égard. En effet, X.________ a été interpellé dans la rue à proximité des lieux de l’agression après avoir été formellement reconnu par la partie plaignante. Cette dernière a donné une version claire à la police lors de son dépôt de plainte (PV aud. 1) et ses déclarations, qui apparaissent crédibles, sont corroborées par les premières informations recueillies par la police, notamment auprès de [...] qui se trouvait sur les lieux au moment de l’agression (cf. P. 6, p. 4) ; ce témoin sera formellement entendu prochainement (P. 17). En outre, on relèvera que le porte-monnaie du plaignant a été retrouvé au sol peu après par une passante et que les blessures du plaignant et du prévenu correspondent à la version des faits données par le plaignant. Enfin, X.________ a admis le vol d’un téléphone portable, ainsi que des injures envers des agents de police et des dommages causés à la porte de sa cellule. A ce stade de l’enquête, il existe donc des éléments suffisants pour fonder des indices sérieux de culpabilité à l’encontre de X.________, y compris en ce qui concerne l’infraction de brigandage. c)               Pour le surplus, le risque de fuite est manifestement réalisé en l'espèce. En effet, X.________ est un ressortissant français, sans attaches en Suisse, où il se trouve d’ailleurs interdit d’entrée. A cet égard, on relèvera encore que les motifs par lesquels il a expliqué sa présence en Suisse au moment de son arrestation sont peu crédibles, l’intéressé ayant expliqué qu’il était venu en Suisse pour chercher des habits chez une personne qu’il ne souhaitait pas nommer (PV aud. 2, réponse 4). Dès lors, compte tenu des charges qui pèsent sur lui dans le cadre de la présente enquête et du fait qu’il s’expose à l’exécution d’autres peines privatives de liberté auxquelles il a été condamné dans notre pays depuis 2011, il existe un risque concret qu’il cherche à se soustraire à la justice pénale. Aucune mesure de substitution ne paraît susceptible de garantir sa présence aux actes d’instruction. La détention provisoire étant justifiée au regard du risque de fuite, il n'y a pas lieu d'examiner plus avant les motifs tirés des risques de collusion ou de récidive. d)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A ce stade, X.________ est détenu depuis quelques jours seulement. Durant la période comprise entre le 20 septembre 2011 et le 27 septembre 2012, il a été condamné à trois reprises, par le Ministère public de l’arrondissement de Lausanne, à des peines privatives de liberté allant de quarante à cent cinquante jours, notamment pour appropriation illégitime, vol, voies de fait, dommages à la propriété, violation de domicile, injure, désagréments causés par la confrontation à un acte d’ordre sexuel et violence ou menace contre les autorités et les fonctionnaires. Au vu de la gravité des infractions qui lui sont reprochées et de ses antécédents, le prénommé s'expose à une peine privative de liberté d’une durée très nettement supérieure à celle de la détention provisoire subie à ce jour si les faits sont avérés. Par conséquent, le principe de proportionnalité des intérêts en présence demeure respecté.</w:t>
      </w:r>
    </w:p>
    <w:p>
      <w:r>
        <w:rPr>
          <w:b/>
        </w:rPr>
        <w:t>E. 3</w:t>
      </w:r>
    </w:p>
    <w:p>
      <w:r>
        <w:t>a)              Le recourant se plaint ensuite d’une violation de l’art 224 al. 1 CPP (respectivement de l’art. 225 al. 4 CPP). b)              Aux termes de l’art. 224 al. 1 CPP,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L’art. 225 al. 4 CPP prévoit que le TMC recueille les preuves immédiatement disponibles susceptibles de confirmer ou d’écarter les soupçons et les motifs de détention. c)              Selon la doctrine, la détention provisoire doit demeurer une mesure exceptionnelle, raison pour laquelle l’art. 224 al. 1 CPP prescrit que le Ministère public doit encore, avant de prendre sa décision procéder immédiatement à l’administration des preuves susceptibles de confirmer ou d’écarter les soupçons et les motifs de détention. Compte tenu du bref délai à disposition (soit 48 heures avant la saisine du TMC) et du principe de célérité, l’administration de preuves est limitée à celles qui sont «aisément disponibles». Il s’agit des preuves essentielles, immédiatement disponibles, permettant généralement d’établir un alibi au prévenu, par exemple l’audition d’un témoin décisif, une comparaison de traces, ou encore la production de documents ne nécessitant pas une étude compliquée. Il peut également s’agir d’actes d’enquête permettant d’écarter un motif de détention provisoire, comme des renseignements au sujet de la nature des sûretés susceptibles d’être fournies et permettant de proposer une mesure de substitution ou la confrontation avec un témoin décisif permettant d’exclure un risque de collusion. La nature des actes auxquels il peut être procédé dépend en définitive du temps dont dispose encore le Ministère public avant de saisir le TMC (Logos, in : Kuhn/Jeanneret (éd.), Commentaire romand, Code de procédure pénale suisse, Bâle 2011, nn. 14 ad art. 224 CPP). d)              En l’occurrence, on ne voit pas en quoi, à ce stade de l’enquête, la confrontation requise entre le prévenu et le plaignant – qui a livré une version claire à la police lors du dépôt de la plainte quelques heures avant la décision du Ministère public et qui a formellement reconnu le prévenu dans la rue au moment de son arrestation – aurait permis d’écarter les soupçons pesant sur X.________. Cette confrontation, quelle qu’en eût été l’issue, n’aurait en outre pas permis l’économie d’autres mesures d’instruction, à savoir l’audition du témoin [...] notamment et l’identification des autres personnes agressées dans ces mêmes toilettes selon un mode opératoire similaire (cf. P. 4, p. 2). Enfin, on relèvera que X.________ a lui-même renoncé à être entendu par le TMC. Ce moyen est donc également manifestement mal fondé et il doit être rejeté.</w:t>
      </w:r>
    </w:p>
    <w:p>
      <w:r>
        <w:rPr>
          <w:b/>
        </w:rPr>
        <w:t>E. 5</w:t>
      </w:r>
    </w:p>
    <w:p>
      <w:r>
        <w:t>Au vu de ce qui précède, le recours doit être partiellement admis. L'ordonnance attaquée sera maintenue en tant qu'elle ordonne la détention provisoire. Pour le surplus, le dossier de la cause sera renvoyé au Tribunal des mesures de contrainte pour qu'il procède dans le sens des considérants. Les frais de la procédure de recours, constitués en l’espèce de l’émolument d'arrêt, par 1’210 fr. (art. 20 al. 1 TFJP [tarif des frais judiciaires pénaux; RSV 312.03.1]) et des frais imputables à la défense d’office (art. 422 al. 1 et 2 let. a CPP), fixés à 540 fr., plus la TVA par 43 fr. 20, soit un total de 583 fr. 20 fr., seront mis pour moitié à la charge du recourant, qui succombe en partie (art. 428 al. 1 CPP), et laissés pour moitié à la charge de l'Etat. Enfin, le remboursement à l’Etat de la moitié de l’indemnité allouée au défenseur d’office du recourant et mise à sa charge ne sera  exigible que pour autant que la situation économique de ce dernier se soit améliorée (art. 135 al. 4 CPP). Par ces motifs, la Chambre des recours pénale, statuant à huis clos prononce : I. Le recours est partiellement admis. II. L'ordonnance du 20 mai 2013 est maintenue en tant qu'elle ordonne la détention provisoire de X.________ jusqu'au 17 août 2013 au plus tard; pour le surplus, le dossier de la cause est renvoyé au Tribunal des mesures de contrainte pour qu'il procède dans le sens des considérants. III. L'indemnité allouée au défenseur d'office de X.________ est fixée à 583 fr. 20 (cinq cent huitante-trois francs et vingt centimes), TVA comprise. IV. Les frais du présent arrêt, par 1’210 fr. (mille deux cent dix francs), ainsi que l'indemnité due au défenseur d'office de X.________, par 583 fr. 20 (cinq cent huitante-trois francs et vingt centimes), sont mis pour moitié à la charge de ce dernier et pour moitié à la charge de l'Etat. V. Le remboursement à l'Etat de la moitié de l'indemnité allouée au chiffre III ci-dessus sera exigible pour autant que la situation économique de X.________ se soit améliorée. VI. L'arrêt est exécutoire. Le président :               La greffière : Du L'arrêt qui précède, dont la rédaction a été approuvée à huis clos, est notifié, par l'envoi d'une copie complète, à : - M. Arnaud Thièry, avocat (pour X.________), - Ministère public central, et communiquée à : ‑ Mme la Présidente du Tribunal des mesures de contrainte, ‑ M. le Procureur du Ministère public de l’arrondissement de l'Est vaudois, - M.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