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480 vom 12. Juni 2013</w:t>
      </w:r>
    </w:p>
    <w:p>
      <w:r>
        <w:t>VD Tribunal cantonal, 2013-06-12, FR</w:t>
      </w:r>
    </w:p>
    <w:p>
      <w:r>
        <w:rPr>
          <w:b/>
        </w:rPr>
        <w:t xml:space="preserve">Quelle: </w:t>
      </w:r>
      <w:r>
        <w:t>https://mcp.opencaselaw.ch/entscheid/vd_findinfo_D_cision___2013___480</w:t>
      </w:r>
    </w:p>
    <w:p>
      <w:r>
        <w:t>FR: VD_FINDINFO Décision / 2013 / 480 du 12 juin 2013</w:t>
      </w:r>
    </w:p>
    <w:p>
      <w:r>
        <w:t>IT: VD_FINDINFO Décision / 2013 / 480 del 12 giugno 2013</w:t>
      </w:r>
    </w:p>
    <w:p>
      <w:pPr>
        <w:pStyle w:val="Heading2"/>
      </w:pPr>
      <w:r>
        <w:t>Regeste</w:t>
      </w:r>
    </w:p>
    <w:p>
      <w:r>
        <w:t>NON-LIEU, AFFAIRE CIVILE, ESCROQUERIE | 146 CP, 310 CPP (CH), 393 al. 1 let. a CPP (CH)</w:t>
      </w:r>
    </w:p>
    <w:p>
      <w:pPr>
        <w:pStyle w:val="Heading2"/>
      </w:pPr>
      <w:r>
        <w:t>Erwägungen</w:t>
      </w:r>
    </w:p>
    <w:p>
      <w:r>
        <w:rPr>
          <w:b/>
        </w:rPr>
        <w:t>E. 1</w:t>
      </w:r>
    </w:p>
    <w:p>
      <w:r>
        <w:t>Interjeté dans le délai légal (art. 322 al. 2 CPP [Code de procédure pénale suisse du 5 octobre 2007; RS 312.0], auquel renvoie l'art. 310 al. 2 CPP, et 396 al. 1 CPP) contre une décision du Ministère public (art. 393 al. 1 let. a CPP), par la partie plaignante qui a qualité pour recourir (art. 382 al. 1 CPP) et dans les formes prescrites (art. 385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w:t>
      </w:r>
    </w:p>
    <w:p>
      <w:r>
        <w:rPr>
          <w:b/>
        </w:rPr>
        <w:t>E. 3</w:t>
      </w:r>
    </w:p>
    <w:p>
      <w:r>
        <w:t>La recourante estime avoir été victime d’une escroquerie de la part de N.________. Elle lui fait grief de ne « pas avoir livré le matériau convenu, de s’être soustrait au cahier des charges, d’avoir abusé de sa confiance, d’avoir mis sa santé ainsi que sa réputation en péril, et d’avoir séquestré les pièces de l’ouvrage ». Par ailleurs, elle reproche au Procureur de ne pas avoir procédé à de plus amples actes d’instruction.</w:t>
      </w:r>
    </w:p>
    <w:p>
      <w:r>
        <w:rPr>
          <w:b/>
        </w:rPr>
        <w:t>E. 3.1</w:t>
      </w:r>
    </w:p>
    <w:p>
      <w:r>
        <w:t>L’infraction d’escroquerie (art. 146 CP [Code pénal suisse du 21 décembre 1937; RS 311.0) suppose la réalisation des éléments objectifs suivants : une tromperie, une astuce, une induction en erreur, un acte de disposition, un dommage ainsi qu’un lien de causalité entre ces éléments (Dupuis/Geller/Monnier/Moreillon/Piguet/Bettex/Stoll (éd.), Petit commentaire, Code pénal, Bâle 2012, n. 1 ad art. 146 CP). En particulier, la tromperie n’est pénalement répréhensible que si l’auteur agit avec un certain raffinement ou une rouerie particulière (Dupuis/Geller/Monnier/Moreillon/Piguet/Bettex/Stoll (éd.), op. cit., n. 11 ad art. 146 CP et les arrêts cités). La tromperie doit donc revêtir un caractère astucieux.</w:t>
      </w:r>
    </w:p>
    <w:p>
      <w:r>
        <w:rPr>
          <w:b/>
        </w:rPr>
        <w:t>E. 3.2</w:t>
      </w:r>
    </w:p>
    <w:p>
      <w:r>
        <w:t>En l’espèce, force est de constater qu’il n’existe aucun indice de tromperie astucieuse à l’endroit de N.________, au sens du considérant qui précède (cf. supra c. 3.1), qui aurait pu justifier l'ouverture d'une instruction pénale pour escroquerie (art. 146 CP). Il n’existe par ailleurs aucun élément au dossier indiquant que ce dernier aurait eu un comportement pénalement répréhensible. Il s’agit bien plutôt d’une affaire relevant du droit civil, le grief de la recourante concernant manifestement la problématique de l’inexécution contractuelle. Cela ressort en particulier des conclusions du rapport d’expertise établi le 17 juillet 2012, qui indiquent que « les bronzes n’[étaient] pas conformes » et que « le fondeur n’[avait] manifestement pas les compétences pour réaliser ce travail » (P. 10/1). Ainsi, si la recourante estimait que l’ouvrage confié à son entrepreneur ne remplissait pas les conditions contractuelles prévues, tant sur le plan de la qualité que des délais impartis, et qu’elle avait de ce fait subi un dommage, il lui appartenait de faire valoir ses droits dans le cadre d’une procédure civile. Au vu de ce qui précède, les éléments constitutifs d'une infraction pénale ne sont manifestement pas réunis. C'est donc à bon droit que le Procureur a refusé d'entrer en matière sur la plainte pénale de la recourante.</w:t>
      </w:r>
    </w:p>
    <w:p>
      <w:r>
        <w:rPr>
          <w:b/>
        </w:rPr>
        <w:t>E. 4</w:t>
      </w:r>
    </w:p>
    <w:p>
      <w:r>
        <w:t>En définitive, le recours, manifestement mal fondé, doit être rejeté sans autre échange d’écritures (art. 390 al. 2 CPP) et l’ordonnance entreprise confirmée. Vu l’issue de la cause, les frais de la procédure de recours, constitués du seul émolument d'arrêt, par 550 fr. (art. 20 al. 1 TFJP [tarif des frais judiciaires pénaux; RSV 312.03.1]), seront mis à la charge de la recourante qui succombe (art. 428 al. 1  CPP). Par ces motifs, la Chambre des recours pénale, statuant à huis clos, prononce : I. Le recours est rejeté. II. L’ordonnance du 25 février 2013 est confirmée. III. Les frais de la procédure de recours, par 550 fr. (cinq cent cinquante francs), sont mis à la charge de P.________. IV. Le présent arrêt est exécutoire. Le juge présidant : La greffière : Du L'arrêt qui précède, dont la rédaction a été approuvée à huis clos, est notifié, par l'envoi d'une copie complète, à : - Mme P.________, - M. N.________,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