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477 vom 13. Mai 2013</w:t>
      </w:r>
    </w:p>
    <w:p>
      <w:r>
        <w:t>VD Tribunal cantonal, 2013-05-13, FR</w:t>
      </w:r>
    </w:p>
    <w:p>
      <w:r>
        <w:rPr>
          <w:b/>
        </w:rPr>
        <w:t xml:space="preserve">Quelle: </w:t>
      </w:r>
      <w:r>
        <w:t>https://mcp.opencaselaw.ch/entscheid/vd_findinfo_D_cision___2013___477</w:t>
      </w:r>
    </w:p>
    <w:p>
      <w:r>
        <w:t>FR: VD_FINDINFO Décision / 2013 / 477 du 13 mai 2013</w:t>
      </w:r>
    </w:p>
    <w:p>
      <w:r>
        <w:t>IT: VD_FINDINFO Décision / 2013 / 477 del 13 maggio 2013</w:t>
      </w:r>
    </w:p>
    <w:p>
      <w:pPr>
        <w:pStyle w:val="Heading2"/>
      </w:pPr>
      <w:r>
        <w:t>Regeste</w:t>
      </w:r>
    </w:p>
    <w:p>
      <w:r>
        <w:t>CLASSEMENT DE LA PROCÉDURE, DROIT D'ÊTRE ENTENDU, FAUX INTELLECTUEL DANS LES TITRES, FAUX MATÉRIEL DANS LES TITRES, VOL{DROIT PÉNAL}, APPROPRIATION ILLÉGITIME, ESCROQUERIE | 110 al. 4 CP, 137 ch. 1 CP, 139 ch. 1 CP, 146 CP, 251 ch. 1 CP, 319 CPP (CH), 393 al. 1 let. a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Interjetés dans le délai légal (art. 322 al. 2 et 396 al. 1 CPP) par le prévenu et la partie plaignante qui ont qualité pour recourir (art. 322 al. 2 et 382 al. 1 CPP), les recours sont donc recevables.</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(ATF 138 IV 86 c. 4.1.1).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E.________ SA invoque d'abord une violation de son droit d'être entendue, d’une part en relation avec l’audition écrite du témoin R.________, d’autre part en raison de l’absence d’audition du témoin A.________. b) Le droit d'être entendu garanti par l'art. 29 al. 2 Cst. (Constitution fédérale de la Confédération suisse du 18 avril 1999; RS 101) comporte notamment le droit de fournir des preuves, sollicitées en temps utile et dans les formes prescrites, quant aux faits de nature à influer sur la décision (ATF 125 I 127 c. 6c/cc et les arrêts cités).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 2.1; ATF 124 I 208 c. 4a). c) La partie plaignante avait requis, dans le délai de prochaine clôture prolongé à cet effet, comme mesures d’instruction complémentaires, l’audition de R.________ et d’A.________ sur les déclarations du prévenu au sujet du prétendu dépôt de la somme de 42'480 fr. dans le coffre de la plaignante ainsi que sur la quittance de dépôt litigieuse. En application de l’art. 145 CPP, le Procureur ad interim a interpellé R.________ par écrit, lequel lui a répondu par cette voie sous forme manuscrite (P. 82 à 83). Or, la disposition précitée est applicable lorsque l’on se trouve dans les cas de délits de masse, afin d’accélérer la procédure, ou lorsqu’il s’agit de demander à la personne concernée de présenter un rapport concernant des renseignements d’ordre technique, comme par exemple en matière bancaire ou médicale, ou encore lorsqu’il s’agit de poser des questions complémentaires à un témoin déjà entendu. En outre, en cas d’audition sous cette forme, les droits des parties, tels que découlant de l’art. 147 CPP, doivent être respectés, ce qui signifie que celles-ci doivent être mises en mesure de collaborer à l’établissement des questions ou, le cas échéant, de poser des questions complémentaires (Olivier Thormann, in : Kuhn/Jeanneret (éd.), Commentaire romand, Code de procédure pénale suisse, nn. 1-2 et 8 ad art. 145 CPP). En l’espèce, l’un et l’autre des témoignages paraissent être cruciaux pour établir la véracité des dires de S.________, dès lors que ces deux personnes étaient – aux dires du prévenu – présentes lorsqu’il « a mis l’argent dans le coffre » (cf. PV audition 9, p. 3, lignes 93 à 98). Dans ces circonstances, c’est à tort que le Procureur s’est contenté d’entendre R.________ en application de l’art. 145 CPP et qu’il a refusé de procéder à l’audition d’A.________. Il a ainsi violé le droit d’être entendu d’E.________ SA. Bien fondé, le recours de la partie plaignante doit être admis sur ce point.</w:t>
      </w:r>
    </w:p>
    <w:p>
      <w:r>
        <w:rPr>
          <w:b/>
        </w:rPr>
        <w:t>E. 4</w:t>
      </w:r>
    </w:p>
    <w:p>
      <w:r>
        <w:t>a) E.________ SA invoque également une mauvaise application du droit. Elle reproche au Procureur ad interim de ne pas avoir examiné, après avoir exclu la réalisation de l’infraction d’abus de confiance, si d’autres infractions contre le patrimoine, notamment l’appropriation illégitime ou le vol, étaient réalisées. Au surplus, elle fait grief au Procureur ad interim de ne pas avoir examiné si le contrat de vente du 17 février 2007 était un titre faux et si l’infraction d’escroquerie au procès, à tout le moins au stade de la tentative inachevée, était réalisée. b) En vertu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Selon l’art. 139 ch. 1 CP, se rend coupable de vol celui qui, pour se procurer ou procurer à un tiers un enrichissement illégitime, aura soustrait une chose mobilière appartenant à autrui dans le but de se l’approprier. c)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D’après l’art. 110 al. 4 CP, sont des titres tous les écrits destinés et propres à prouver un fait ayant une portée juridique et tous les signes destinés à prouver un tel fait. L’enregistrement sur des supports de données et sur des supports-images est assimilé à un écrit s’il a la même destination. Cette disposition ne vise que les écrits destinés et propres à prouver un fait ayant une portée juridique. La volonté d’un individu ne suffit pas pour créer un titre; il est indispensable que la valeur probante de ce dernier réponde également à des critères objectifs (ATF 129 IV 53, JT 2006 IV 7). Le titre doit prouver un fait ayant une portée juridique, à savoir un fait qui, seul ou en liaison avec d’autres faits, donne naissance à un droit, le modifie, le supprime ou le constate (ATF 113 IV 77 c. 3a, JT 1988 IV 43). Ont notamment été considérés comme des titres une facture fictive destinée à « justifier », dans la comptabilité d’une société anonyme, des avantages indus, et ayant servi à fausser les résultats de la comptabilité, ainsi que toute inscription, même provisoire, qui figure dans les livres de caisse ou la bande de contrôle d’une caisse enregistreuse, qui est présumée donner des indications véridiques et complètes au vu de l’obligation du commerçant de tenir une comptabilité, ou encore le récépissé de paiement portant le sceau postal (Dupuis et allii., Petit Commentaire du Code pénal, n. 27 ad art. 110 CP). De plus, le Tribunal fédéral a admis qu’une fausse indication valant quittance était objectivement apte à prouver un fait ayant une portée juridique (TF 6B_163/2007 du 23 juillet 2007 c. 2.1 et 2.2; TF 6B_178/2007 du 23 juillet 2007, publié partiellement aux ATF 133 IV 286 c. 5.1, 5.2, 5.6 et 5.7). d) Se rend coupable d’escroquerie au procès celui qui, par tromperie, amène le tribunal à trancher en défaveur de la partie adverse, notamment par la production de pièces falsifiées comme moyens de preuve dans un procès civil (TF 6B_525/2012 du 5 novembre 2012 c. 3.3; ATF 122 IV 197 c. 2). e) En l’espèce, E.________ SA reproche à S.________ d’avoir établi un faux contrat de vente, daté du 10 février 2007 (P. 4/5), et une fausse quittance (P. 72/4), datée du 24 janvier 2008, soit près d’un an après la date prétendue de la vente, et apparue mystérieusement en novembre 2012 (P. 71, p. 2), cela en relation avec les transferts successifs du véhicule Peugeot 407 appartenant à la plaignante et que le prévenu se serait approprié de manière astucieuse et sans bourse délier (cf. P. 4, p. 5; P. 64/1, spéc. pp. 3-4 et 8). Ces divers agissements sont susceptibles d’être constitutifs de faux dans les titres, à tout le moins en ce qui concerne le contrat de vente (P. 4/5), dont le prévenu a fini par admettre – après avoir soutenu le contraire – qu’il n’avait pas été signé à la date indiquée (cf. PV audition 9, p. 2, ligne 45 et p. 4, lignes 136 ss.), mais également d’escroquerie et de vol. Au vu de ce qui précède, contrairement à ce qui est soutenu par le Procureur ad interim , cette affaire est loin d’être claire et ne saurait être classée au motif qu’elle serait « de toute évidence de nature civile » – autrement dit exclusivement civile. On se trouve au contraire en présence d’éléments justifiant de pousser plus loin les investigations sur le plan pénal, en particulier en entendant en contradictoire les témoins R.________ et A.________, et de ne pas se contenter de rendre d’une ordonnance de classement. Egalement bien fondé sur ce point, le recours de la partie plaignante doit être admis.</w:t>
      </w:r>
    </w:p>
    <w:p>
      <w:r>
        <w:rPr>
          <w:b/>
        </w:rPr>
        <w:t>E. 5</w:t>
      </w:r>
    </w:p>
    <w:p>
      <w:r>
        <w:t>En définitive, le recours formé par E.________ SA doit être admis, l’ordonnance attaquée annulée et le dossier de la cause renvoyé au Procureur ad interim de l’arrondissement de Lausanne pour qu’il procède dans le sens des considérants. Au vu de l’admission du recours de la partie plaignante, le recours formé par S.________ devient sans objet. Vu l'issue de la procédure de recours, les frais de cette procédure, constitués en l'espèce du seul émolument d'arrêt (422 al. 1 CPP), par 1’100 fr. (art. 20 al. 1 TFJP [Tarif des frais judiciaires pénaux du 28 septembre 2010; RSV 312.03.1]), seront mis à la charge de S.________, dès lors qu'il a implicitement conclu au rejet du recours (art. 428 al. 1 CPP). Enfin,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de la partie plaignante E.________ SA est admis. II. L’ordonnance attaquée est annulée et le dossier de la cause est renvoyé au Ministère public de l’arrondissement de Lausanne pour qu’il procède dans le sens des considérants. III. Le recours du prévenu S.________ est sans objet. IV. Les frais d'arrêt, par 1’100 fr. (mille cent francs), sont mis à la charge de S.________. V. Le présent arrêt est exécutoire. Le vice-président : La greffière : Du L'arrêt qui précède, dont la rédaction a été approuvée à huis clos, est notifié, par l'envoi d'une copie complète, à : - Me David Regamey, avocat (pour E.________ SA), - Me Michel Chavanne, avocat (pour S.________), - Ministère public central, et communiqué à : - M. le Procureur ad interim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