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455 vom 6. Februar 2013</w:t>
      </w:r>
    </w:p>
    <w:p>
      <w:r>
        <w:t>VD Tribunal cantonal, 2013-02-06, FR</w:t>
      </w:r>
    </w:p>
    <w:p>
      <w:r>
        <w:rPr>
          <w:b/>
        </w:rPr>
        <w:t xml:space="preserve">Quelle: </w:t>
      </w:r>
      <w:r>
        <w:t>https://mcp.opencaselaw.ch/entscheid/vd_findinfo_D_cision___2013___455</w:t>
      </w:r>
    </w:p>
    <w:p>
      <w:r>
        <w:t>FR: VD_FINDINFO Décision / 2013 / 455 du 6 février 2013</w:t>
      </w:r>
    </w:p>
    <w:p>
      <w:r>
        <w:t>IT: VD_FINDINFO Décision / 2013 / 455 del 6 febbraio 2013</w:t>
      </w:r>
    </w:p>
    <w:p>
      <w:pPr>
        <w:pStyle w:val="Heading2"/>
      </w:pPr>
      <w:r>
        <w:t>Regeste</w:t>
      </w:r>
    </w:p>
    <w:p>
      <w:r>
        <w:t>DÉNONCIATEUR, DÉCISION D'IRRECEVABILITÉ, QUALITÉ POUR RECOURIR | 105 CPP (CH), 301 CPP (CH), 310 CPP (CH), 382 al. 1 CPP (CH), 393 al. 1 let. a CPP (CH)</w:t>
      </w:r>
    </w:p>
    <w:p>
      <w:pPr>
        <w:pStyle w:val="Heading2"/>
      </w:pPr>
      <w:r>
        <w:t>Erwägungen</w:t>
      </w:r>
    </w:p>
    <w:p>
      <w:r>
        <w:rPr>
          <w:b/>
        </w:rPr>
        <w:t>E. 1</w:t>
      </w:r>
    </w:p>
    <w:p>
      <w:r>
        <w:t>a) Les parties peuvent attaquer une ordonnance de non-entrée en matière rendue par le Ministère public (cf. art. 310 CPP) dans les dix jours devant l’autorité de recours (art. 310 al. 2, 322 al. 2 CPP ; cf. art. 20 al. 1 let. b CPP), qui, dans le canton de Vaud, est la Chambre des recours pénale du Tribunal cantonal (art. 13 LVCPP [loi d’introduction du code de procédure pénale suisse ; RSV 312.01]; art. 80 LOJV [loi d’organisation judiciaire ; RSV 173.01]). b) En l’espèce, le recours a été formé en temps utile devant l’autorité compétente et satisfait aux conditions de forme posées par l’art. 385 al. 1 CPP. Cela étant, comme seules les parties ont qualité pour recourir contre une ordonnance de non-entrée en matière (cf. art. 322 al. 2 et 382 al. 1 CPP), il convient d’examiner en premier lieu si Z.________ a la qualité de partie plaignante s’agissant des infractions réprimées par les art. 305 CP et 95 LCR.</w:t>
      </w:r>
    </w:p>
    <w:p>
      <w:r>
        <w:rPr>
          <w:b/>
        </w:rPr>
        <w:t>E. 2</w:t>
      </w:r>
    </w:p>
    <w:p>
      <w:r>
        <w:t>a) 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Le dénonciateur qui n’est ni lésé, ni partie plaignante ne jouit d’aucun autre droit en procédure que celui d’être informé par l’autorité de poursuite pénale, à sa demande, sur la suite que celle-ci a donnée à sa dénonciation (art. 301 al. 1 et 2 CPP). Il n’a donc en particulier pas qualité pour recourir contre une ordonnance de classement ou de non-entrée en matière (Bendani, in Kuhn/Jeanneret (éd.), Commentaire romand, Code de procédure pénale suisse, Bâle 2011, n. 9 ad art. 105 CPP et les références citées; CREP 20 mars 2013/175; CREP 15 novembre 2012/824 c. 2a; CREP</w:t>
      </w:r>
    </w:p>
    <w:p>
      <w:r>
        <w:rPr>
          <w:b/>
        </w:rPr>
        <w:t>E. 6</w:t>
      </w:r>
    </w:p>
    <w:p>
      <w:r>
        <w:t>novembre 2012/798 c. 2a). b) On entend par partie plaignante (cf. art. 104 al. 1 let. b CPP) le lésé qui déclare expressément vouloir participer à la procédure pénale comme demandeur au pénal ou au civil (art. 118 al. 1 CPP). On entend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op. cit., nn. 6 et 8 ad art. 115 CPP et les arrêts cités; Mazzuchelli/Postizzi, in Niggli/Heer/Wiprächtiger (éd.), Basler Kommentar, Schweizerische Strafprozessordnung, Jugendstrafprozessordnung, Bâle 2011, n. 21 ad art. 115 CPP). Les droits lésés directement par l’infraction doivent être des biens juridiques individuels; il peut s’agir de la vie, de l’intégrité corporelle, de la propriété, de l’honneur ou encore de la liberté personnelle (Perrier, op. cit., n. 10 ad art. 115 CPP). Pour déterminer si une personne est lésée par une infraction, il convient ainsi d’interpréter le texte de la disposition pour savoir qui est le titulaire du bien juridique que celle-ci protège (Perrier, op. cit., n. 8 ad art. 115 CPP). c) L’art. 305 CP protège l’administration de la justice et l’art. 95 LCR protège la sécurité routière. Z.________ ne justifie d’aucun intérêt personnel qui serait atteint par la réalisation de ces infractions. Par conséquent, il n’a manifestement pas la qualité pour recourir contre l’ordonnance de non-entrée en matière du 24 janvier 2013 en demandant que l’instruction soit ouverte pour entrave à l’action pénale et pour violation de la LCR au motif que les éléments en main de la justice permettraient d’attester de la conduite sans permis de T.________. 3. Il résulte de ce qui précède que le recours doit être déclaré irrecevable, sans autres échanges d’écritures (art. 390 al. 2 CPP). Les frais de la procédure de recours, constitués en l’espèce du seul émolument d'arrêt, par 550 fr. (art. 20 al. 1 TFJP [tarif des frais judiciaires pénaux; RSV 312.03.1]), seront mis à la charge du recourant, qui succombe (art. 428 al. 1 CPP). Par ces motifs, la Chambre des recours pénale, statuant à huis clos prononce: I. Le recours est irrecevable. II. Les frais de la procédure de recours, par 550 fr. (cinq cent cinquante francs), sont mis à la charge de Z.________. III. Le présent arrêt est exécutoire. Le vice-président : La greffière : Du L'arrêt qui précède, dont la rédaction a été approuvée à huis clos, est notifié, par l'envoi d'une copie complète, à : - Monsieur Z.________, - Monsieur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