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453 vom 12. Dezember 2012</w:t>
      </w:r>
    </w:p>
    <w:p>
      <w:r>
        <w:t>VD Tribunal cantonal, 2012-12-12, FR</w:t>
      </w:r>
    </w:p>
    <w:p>
      <w:r>
        <w:rPr>
          <w:b/>
        </w:rPr>
        <w:t xml:space="preserve">Quelle: </w:t>
      </w:r>
      <w:r>
        <w:t>https://mcp.opencaselaw.ch/entscheid/vd_findinfo_D_cision___2013___453</w:t>
      </w:r>
    </w:p>
    <w:p>
      <w:r>
        <w:t>FR: VD_FINDINFO Décision / 2013 / 453 du 12 décembre 2012</w:t>
      </w:r>
    </w:p>
    <w:p>
      <w:r>
        <w:t>IT: VD_FINDINFO Décision / 2013 / 453 del 12 dicembre 2012</w:t>
      </w:r>
    </w:p>
    <w:p>
      <w:pPr>
        <w:pStyle w:val="Heading2"/>
      </w:pPr>
      <w:r>
        <w:t>Regeste</w:t>
      </w:r>
    </w:p>
    <w:p>
      <w:r>
        <w:t>RISQUE DE FUITE, RISQUE DE COLLUSION, PROPORTIONNALITÉ, DÉTENTION PRÉVENTIVE | 221 al. 1 let. a CPP (CH), 221 al. 1 let. b CPP (CH), 227 CPP (CH), 393 CPP (CH)</w:t>
      </w:r>
    </w:p>
    <w:p>
      <w:pPr>
        <w:pStyle w:val="Heading2"/>
      </w:pPr>
      <w:r>
        <w:t>Erwägungen</w:t>
      </w:r>
    </w:p>
    <w:p>
      <w:r>
        <w:rPr>
          <w:b/>
        </w:rPr>
        <w:t>E. 1</w:t>
      </w:r>
    </w:p>
    <w:p>
      <w:r>
        <w:t>a)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b) En l’espèce, il y a donc lieu d’entrer en matière sur le recours, qui a été interjeté en temps utile par le détenu devant l’autorité compétente et qui satisfait aux conditions de forme posées par l’art. 385 al. 1 CPP.</w:t>
      </w:r>
    </w:p>
    <w:p>
      <w:r>
        <w:rPr>
          <w:b/>
        </w:rPr>
        <w:t>E. 2</w:t>
      </w:r>
    </w:p>
    <w:p>
      <w:r>
        <w:t>a) Tout d’abord, le recourant conteste l’existence d’indices sérieux de culpabilité à ce stade de la procédure. b)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mise en détention provisoire n’est possible que s’il existe, préalablement à toute autre cause, de graves soupçons de culpabilité d’avoir commis un crime ou un délit à l’égard de l’auteur présumé (TF 1B_182/2011 du 5 mai 2011 c. 3.1; Schmocker, in : Kuhn/Jeanneret [éd.], Commentaire romand, Code de procédure pénale suisse, Bâle 2011, nn. 7 ss ad art. 221 CPP, pp. 1024 ss).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2e éd., Zurich 2006, n. 845; Schmocker, op. cit., n. 8 ad art. 221 CPP, p. 1025; Forster, in : Niggli/Heer/Wiprächtiger [éd.], Basler Kommentar, Schweizerische Strafprozessordnung, 2011, n. 3 ad art. 221 CPP, pp. 1459 s.). Les autorités de recours appelées à se prononcer sur la légalité d'une décision de maintien en détention provisoire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 3.2; ATF 124 I 208 c. 3; ATF 116 Ia 413 c. 3c; TF 1B_423/2010 du 17 janvier 2011 c. 4.1; TF 1B_410/2010 du 23 décembre 2010 c. 4.1; Forster, op. cit., n. 3 ad art. 221 CPP, pp. 1459 s.). c) En l’espèce, M.________ est fortement soupçonné d’avoir aidé […] à se soustraire à son arrestation. En effet, le 1 er novembre 2012, […] a été appréhendé vers 01h40 à la Chaux-de-Fonds, […], dans l’appartement de […]. A cette même date et dans la même procédure, le recourant a été entendu par la police avec le statut de personne appelée à donner des renseignements. Lors de son audition, M.________ a indiqué qu’il connaissait […] depuis quatre ans ou plus et qu’il le voyait assez régulièrement. Il a précisé qu’ils n’avaient plus de contact depuis le 28 octobre 2012, date à laquelle il l’avait rencontré fortuitement à la gare de Renens. En date du 29 octobre 2012, le recourant aurait toutefois tenté de joindre […] par téléphone pour lui emprunter sa voiture, sans succès (CREP 19 décembre 2012/774, p. 3). Toujours dans le cadre de l’interpellation de […],[…] et […] ont également été entendus. Il ressort de leurs déclarations que M.________ se serait rendu dans l’appartement de la Chaux-de-Fonds, où était caché […], à au moins une occasion entre le 29 octobre et le 1 er novembre 2012. S’agissant de […], qui était présente dans l’appartement lors de l’interpellation de […], elle a expliqué que M.________ savait où se cachait […] en tout cas depuis le 30 octobre 2012 (CREP op. cit. p. 4). A cela s’ajoute que le contrôle téléphonique rétroactif ordonné sur le raccordement de téléphonie mobile de M.________ a révélé que ce dernier s’était rendu à trois reprises à la Chaux-de-Fonds entre le 30 et le 31 octobre 2012 et qu’à ces occasions, il avait été en contact téléphonique avec […] (CREP op. cit. p. 4). Entendu à ce sujet le 10 décembre 2012 par la police, M.________ a tout d’abord contesté s’être rendu dans l’appartement de la Chaux-de-Fonds pour ensuite revenir sur ses déclarations, après avoir été confronté aux résultats du contrôle de son raccordement téléphonique. Il a admis s’être rendu à la Chaux-de-Fonds à trois reprises (CREP op. cit. p. 4). A cela s’ajoute que depuis lors, les contrôles téléphoniques rétroactifs ordonnés par le procureur ont permis d’établir que depuis le 29 octobre 2012 à 19h35, le recourant a été plusieurs fois en contact avec […] (locataire officieux de […] qui logeait […]), et qu’à ces occasions il s’entretenait avec […] (P. 19, p. 4). Ces contrôles téléphoniques rétroactifs ont également permis d’établir que depuis le 30 octobre 2013, le recourant a eu une quinzaine de contacts téléphoniques avec […], frère de […], avec lequel il n’avait jamais été en contact téléphonique auparavant (P. 19, p. 4). Enfin, l’ADN de M.________ a été retrouvé sur l’arme ayant servi à tuer […], plus précisément sur le corps de l’arme, la détente, le magasin et les munitions qu’elle contenait (P. 28, p. 6). Vu ce qui précède, l’existence d’indices sérieux de culpabilité à l’encontre de M.________, s’agissant du rôle que ce dernier a pu jouer dans l’aide apportée à […] pour se soustraire à son arrestation, est incontestable.</w:t>
      </w:r>
    </w:p>
    <w:p>
      <w:r>
        <w:rPr>
          <w:b/>
        </w:rPr>
        <w:t>E. 3</w:t>
      </w:r>
    </w:p>
    <w:p>
      <w:r>
        <w:t>a) Le recourant conteste ensuite l’existence d’un risque de fuite. b)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 3.1). La gravité de l’infraction ne peut pas, à elle seule, justifier la prolongation de la détention, même si elle permet souvent de présumer un danger de fuite en raison de l’importance de la peine dont le prévenu est menacé (ibidem). c) En l’espèce, et comme exposé dans son arrêt du 19 décembre 2012 (CREP op. cit. pp. 4 et 5), la Chambre des recours pénale retient que M.________, originaire du Kosovo, est, selon ses dires, arrivé en Suisse en […] après avoir échappé à une tentative d’assassinat à son encontre dans son pays. Son statut administratif n’est pas encore régularisé. Dans une correspondance du 10 janvier 2012 [recte 2013], le Service de la population, division asile, a confirmé que la demande d’asile en Suisse déposée par M.________ le […], a été rejetée par l’Office fédéral des migrations le […] et que cette décision de rejet a été confirmée par le Tribunal fédéral administratif en date du […]. Un délai au 13 juin 2011 a été imparti à M.________ pour quitter la Suisse. Ensuite d’une plainte déposée le 21 novembre 2011 par le recourant auprès du Comité contre la torture, l’Office fédéral des migrations a toutefois suspendu l’exécution de ce renvoi (P. 20). Aucun élément au dossier ne démontre que le recourant a des attaches particulières avec notre pays. Il a lui-même déclaré n’avoir aucune famille à charge en Suisse. Il existe par conséquent un risque concret que M.________ tente d’échapper à ses juges en tombant dans la clandestinité, voire en fuyant au Kosovo. A cela s’ajoute que l’on ne peut qualifier de bénin le comportement de l’auteur d’une entrave à l’action pénale, surtout lorsque le bénéficiaire de son acte est recherché pour avoir commis un meurtre. Vu ce qui précède, et contrairement aux allégations du recourant, il existe un risque de fuite concret. d) Dans la mesure où les conditions du maintien en détention sont réalisées en raison du risque de fuite, il n’y a pas lieu d’examiner l’éventualité d’un risque de collusion (Forster, in : Niggli/Heer/Wiprächtiger, Schweizerische Strafprozessordnung, Basler Kommentar, Bâle 2011, n. 4 ad art. 221 CPP, p. 1460; TF 1B_249/2011 du 7 juin 2011 c. 2.4).</w:t>
      </w:r>
    </w:p>
    <w:p>
      <w:r>
        <w:rPr>
          <w:b/>
        </w:rPr>
        <w:t>E. 4</w:t>
      </w:r>
    </w:p>
    <w:p>
      <w:r>
        <w:t>a) Le recourant invoque encore une violation du principe de la proportionnalité. b) La détention provisoire et la détention pour des motifs de sûreté doivent être levées dès que des mesures de substitution (art. 237 CPP) permettent d’atteindre le même but (art. 212 al. 2 let. c CPP). Elles ne doivent pas durer plus longtemps que la peine privative de liberté prévisible (art. 212 al. 3 CPP). Selon la jurisprudence du Tribunal fédéral, dans l’examen de la proportionnalité de la durée de la détention, il y a lieu de prendre en compte la gravité des infractions faisant l’objet de l’instruction ;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c) En l’espèce, l’entrave à l’action pénale est passible d’une peine privative de liberté de 3 ans au plus (art. 305 al. 1 CP). L’absence d’antécédents judiciaires ne permet pas d’emblée d’affirmer que la peine prononcée sera assortie du sursis (Dupuis/Geller/Monnier/Moreillon/Piguet/Bettex/Stoll, Petit commentaire du Code pénal, Bâle 2012, n. 26 ad art. 42 CP, p. 274). Le comportement reproché au recourant, qui aurait aidé une personne recherchée pour avoir commis un meurtre, est en outre particulièrement grave. Le principe de la proportionnalité demeure respecté étant précisé que le procureur devra dorénavant tout mettre en œuvre pour que le recourant soit mis en accusation rapidement. Le moyen tiré de la violation du principe de la proportionnalité est dès lors mal fondé. Enfin, aucune mesure de substitution n’apparaît susceptible de prévenir le risque de fuite retenu.</w:t>
      </w:r>
    </w:p>
    <w:p>
      <w:r>
        <w:rPr>
          <w:b/>
        </w:rPr>
        <w:t>E. 5</w:t>
      </w:r>
    </w:p>
    <w:p>
      <w:r>
        <w:t>Il résulte de ce qui précède que le recours, manifestement mal fondé, doit être rejeté. Les frais de la procédure, constitués en l’espèce de l’émolument d’arrêt par 990 fr. (art. 20 al. 1 TFJP [tarif des frais judiciaires pénaux ; RSV 312.03.1]) et des frais imputables à la défense d’office (art. 422 al. 1 et 2 let. a CPP), fixés à 450 fr., plus la TVA par 36 fr., soit un total de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de M.________ est fixée à 486 fr. (quatre cent huitante-six francs), TVA comprise. IV. Les frais du présent arrêt, par 990 fr. (neuf cent nonante francs), ainsi que l’indemnité due au défenseur d’office de M.________, par 486 fr. (quatre cent huitante-six francs), sont mis à la charge de ce dernier. V. Le remboursement à l’Etat de l’indemnité allouée au chiffre III ci-dessus sera exigible pour autant que la situation économique M.________ se soit améliorée. VI. Le présent arrêt est exécutoire. Le président :               La greffière : Du L'arrêt qui précède, dont la rédaction a été approuvée à huis clos, est notifié, par l'envoi d'une copie complète, à : - M. Christophe Tafelmacher, avocat (pour M.________),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