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421 vom 2. Mai 2013</w:t>
      </w:r>
    </w:p>
    <w:p>
      <w:r>
        <w:t>VD Tribunal cantonal, 2013-05-02, FR</w:t>
      </w:r>
    </w:p>
    <w:p>
      <w:r>
        <w:rPr>
          <w:b/>
        </w:rPr>
        <w:t xml:space="preserve">Quelle: </w:t>
      </w:r>
      <w:r>
        <w:t>https://mcp.opencaselaw.ch/entscheid/vd_findinfo_D_cision___2013___421</w:t>
      </w:r>
    </w:p>
    <w:p>
      <w:r>
        <w:t>FR: VD_FINDINFO Décision / 2013 / 421 du 2 mai 2013</w:t>
      </w:r>
    </w:p>
    <w:p>
      <w:r>
        <w:t>IT: VD_FINDINFO Décision / 2013 / 421 del 2 maggio 2013</w:t>
      </w:r>
    </w:p>
    <w:p>
      <w:pPr>
        <w:pStyle w:val="Heading2"/>
      </w:pPr>
      <w:r>
        <w:t>Regeste</w:t>
      </w:r>
    </w:p>
    <w:p>
      <w:r>
        <w:t>DROIT D'OBTENIR UNE DÉCISION, DROIT D'ÊTRE ENTENDU, SÉQUESTRE{MESURE PROVISIONNELLE} | 263 al. 1 let. c CPP (CH), 393 al. 1 let. a CPP (CH), 5 CPP (CH)</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Interjeté dans le délai légal (art. 396 al. 1 CPP) contre une décision du Ministère public (art. 393 al. 1 let. a CPP), par le prévenu et deux sociétés également titulaires des comptes séquestrés qui ont qualité pour recourir (art. 382 al. 1 CPP) et dans les formes prescrites (art. 385 al. 1 CPP), le recours est recevable.</w:t>
      </w:r>
    </w:p>
    <w:p>
      <w:r>
        <w:rPr>
          <w:b/>
        </w:rPr>
        <w:t>E. 2</w:t>
      </w:r>
    </w:p>
    <w:p>
      <w:r>
        <w:t>Les recourants invoquent un retard injustifié du Procureur à rendre une ordonnance de séquestre motivée conformément à l'arrêt du 21 novembre 2012 de la Chambre des recours pénale au motif qu'il a ordonné un nouveau séquestre en lieu et place du séquestre n° 2201.</w:t>
      </w:r>
    </w:p>
    <w:p>
      <w:r>
        <w:rPr>
          <w:b/>
        </w:rPr>
        <w:t>E. 2.1</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w:t>
      </w:r>
    </w:p>
    <w:p>
      <w:r>
        <w:rPr>
          <w:b/>
        </w:rPr>
        <w:t>E. 2.2</w:t>
      </w:r>
    </w:p>
    <w:p>
      <w:r>
        <w:t>En l'espèce, le séquestre n° 2201 ordonné le 11 octobre 2012 a été annulé par arrêt du 21 novembre 2012 de la Chambre des recours pénale. Ainsi, le Procureur ne pouvait pas modifier sa première décision au vu de l'effet cassatoire de l'arrêt, et n'avait d'autre choix que de prononcer un nouveau séquestre (n° 2235) en lieu et place du premier séquestre (n° 2201) (cf. Pitteloud, Code de procédure pénale suisse [CPP], Commentaire à l'usage des praticiens, Zurich/St-Gall 2012, n. 1161 ad art. 393 CPP, p. 783). Aucun déni de justice ne peut donc être reproché au Procureur sur ce point. Au surplus, les recourants ont formé un recours pour retard injustifié le 20 février 2013. Par arrêt du 21 mars 2013, expédié le 28 mars 2013, la Chambre des recours pénale a notamment admis le recours et imparti un délai de quinze jours dès la réception de l'arrêt au Procureur pour rendre une nouvelle décision dûment motivée. Ainsi, le Procureur, en rendant une nouvelle ordonnance de séquestre le 17 avril 2013, a agi dans le délai imparti. Par conséquent, le grief invoqué doit être rejeté.</w:t>
      </w:r>
    </w:p>
    <w:p>
      <w:r>
        <w:rPr>
          <w:b/>
        </w:rPr>
        <w:t>E. 3</w:t>
      </w:r>
    </w:p>
    <w:p>
      <w:r>
        <w:t>Les recourants soutiennent que le séquestre n° 2235 ordonné le 17 avril 2013 serait abusif, reposerait sur des faits erronés et qu'aucun élément ne permettrait d'impliquer B.________SA dans le séquestre.</w:t>
      </w:r>
    </w:p>
    <w:p>
      <w:r>
        <w:rPr>
          <w:b/>
        </w:rPr>
        <w:t>E. 3.1</w:t>
      </w:r>
    </w:p>
    <w:p>
      <w:r>
        <w:t>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En application de l'art. 263 al. 1 CPP, des objets ou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encore qu'ils devront être confisqués (let. d).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Bommer/Goldschmid, op. cit., n. 48 ad art. 263 CPP). Selon la jurisprudence et la doctrine, le séquestre en vue de restitution au lésé se distingue du séquestre conservatoire – qui consiste en la confiscation de biens en raison de leur origine criminelle ou du danger qu'ils représentent pour la sécurité, l'ordre public ou encore la morale – (cf. art. 263 al. 1 let. d CPP) dans la mesure où il vise les objets ou valeurs que la personne lésée s’est vue directement soustraire du fait de l’infraction et aussi les comptes alimentés grâce à l'infraction (Lembo/Julen Berthod, op. cit., n. 13 ad art. 263 CPP et les références citées; Moreillon/Parein-Reymond, Petit Commentaire, Code de procédure pénale, Bâle 2013, nn. 17 et 19 ad art. 263 CPP).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w:t>
      </w:r>
    </w:p>
    <w:p>
      <w:r>
        <w:rPr>
          <w:b/>
        </w:rPr>
        <w:t>E. 3.2</w:t>
      </w:r>
    </w:p>
    <w:p>
      <w:r>
        <w:t>En l'espèce, il existe des charges concrètes suffisantes à l'encontre du prévenu. En effet, N.________ a accepté, sur recommandation du prévenu, et dans le but de réduire l'endettement d'Y.________SA d'abandonner ses créances pour plus de 300'000 francs. Puis, le plaignant a cédé la totalité de ses actions d'Y.________SA au prévenu afin de permettre le redressement financier et la relance officielle de la société. Pour le rachat de la société, Y.________SA représentée par le prévenu s'était engagée à verser 427'000 fr. au plaignant. En contrepartie de la cession des actions, le prévenu s'était également engagé à verser au plaignant un salaire jusqu'à sa retraite en l'engageant en qualité de Directeur Recherche &amp; Développement et Industrialisation au sein de la société. Toutefois, le prévenu n'aurait tenu aucun de ses engagements. Par son stratagème, en quelques mois, il est devenu administrateur unique et actionnaire majoritaire d'Y.________SA sans honorer ses obligations. Le plaignant s'est ainsi retrouvé dépouillé de sa société, sans revenu et sans emploi. Lorsqu'une nouvelle convention a été conclue le 28 juin 2005, remplaçant et annulant tout engagement antérieur, U.________ et Y.________SA ne l'auraient pas plus respectée. Alors qu'on avait promis au plaignant un travail et un salaire, lui permettant de vivre agréablement jusqu'à sa retraite ainsi que quelques centaines de milliers de francs pour la vente de sa société, il n'aurait perçu au final que 60'500 fr. (48'000 fr. + 12'500 fr.). Il a dû vendre sa maison, s'inscrire au chômage puis à l'AVS. S'agissant de la société B.________SA, créée en 2009 et également active dans l'horlogerie, le prévenu en est également administrateur avec signature individuelle. Le prévenu a reconnu que B.________SA mandatait Y.________SA pour la création et la fabrication de ses montres. A ce stade de l'enquête, malgré les dénégations du prévenu, il ne peut pas être exclu que le prévenu ait créé la société B.________SA pour revendre sous cette appellation les montres créées par Y.________SA et ainsi priver le plaignant de tout commissionnement. Au vu des éléments qui précèdent, il existe des indices concrets suffisants permettant de retenir que le prévenu s'est approprié la société du plaignant dans des circonstances suspectes. Partant, il est vraisemblable que la somme séquestrée soit le produit d'une escroquerie (art. 146 CP), voire d'un abus de confiance (art. 138 CP), et doive être restituée au plaignant ou confisquée. Dès lors, les conditions d'application de l'art. 263 al. 1 let. c et d CPP sont réalisées. C'est donc à juste titre que le Procureur a ordonné le séquestre de 560'000 fr. sur les comptes d'U.________, d'Y.________SA et de B.________SA, le montant du séquestre correspondant à une partie du dommage subi par le plaignant selon l'arrêt du 11 avril 2012 de la Cour des poursuites et faillites du Tribunal cantonal.</w:t>
      </w:r>
    </w:p>
    <w:p>
      <w:r>
        <w:rPr>
          <w:b/>
        </w:rPr>
        <w:t>E. 4</w:t>
      </w:r>
    </w:p>
    <w:p>
      <w:r>
        <w:t>En définitive, le recours, manifestement mal fondé, doit être rejeté sans autre échange d'écritures (art. 390 al. 2 CPP) et l’ordonnance confirmée. Les frais de la procédure de recours, constitués en l'espèce de l'émolument d'arrêt, par 1'100 fr. (art. 20 al. 1 TFJP [Tarif des frais judiciaires pénaux du 28 septembre 2010; RSV 312.03.1]), seront mis à la charge des recourants, qui succombent, à parts égales et solidairement entre eux (art. 428 al. 1 CPP). Par ces motifs, la Chambre des recours pénale, statuant à huis clos prononce : I. Le recours est rejeté. II. L’ordonnance du 17 avril 2013 est confirmée. III. Les frais de la procédure de recours, par 1'100 fr. (mille cent francs), sont mis à la charge des recourants, à parts égales et solidairement entre eux. IV. Le présent arrêt est exécutoire. Le président :               La greffière : Du L'arrêt qui précède, dont la rédaction a été approuvée à huis clos, est notifié, par l'envoi d'une copie complète, à : - Me Henri-Philippe Sambuc, avocat (pour U.________, Y.________SA et B.________SA), - Me Nicolas Perret, avocat (pour N.________), - E.________SA, Service Compliance,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