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414 vom 8. Mai 2013</w:t>
      </w:r>
    </w:p>
    <w:p>
      <w:r>
        <w:t>VD Tribunal cantonal, 2013-05-08, FR</w:t>
      </w:r>
    </w:p>
    <w:p>
      <w:r>
        <w:rPr>
          <w:b/>
        </w:rPr>
        <w:t xml:space="preserve">Quelle: </w:t>
      </w:r>
      <w:r>
        <w:t>https://mcp.opencaselaw.ch/entscheid/vd_findinfo_D_cision___2013___414</w:t>
      </w:r>
    </w:p>
    <w:p>
      <w:r>
        <w:t>FR: VD_FINDINFO Décision / 2013 / 414 du 8 mai 2013</w:t>
      </w:r>
    </w:p>
    <w:p>
      <w:r>
        <w:t>IT: VD_FINDINFO Décision / 2013 / 414 del 8 maggio 2013</w:t>
      </w:r>
    </w:p>
    <w:p>
      <w:pPr>
        <w:pStyle w:val="Heading2"/>
      </w:pPr>
      <w:r>
        <w:t>Regeste</w:t>
      </w:r>
    </w:p>
    <w:p>
      <w:r>
        <w:t>DÉTENTION PRÉVENTIVE, RISQUE DE FUITE, RISQUE DE RÉCIDIVE | 221 al. 1 let. a CPP (CH), 221 al. 1 let. c CPP (CH),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L'art. 212 al. 3 CPP prévoit que la détention provisoire et la détention pour des motifs de sûreté ne doivent pas durer plus longtemps que la peine privative de liberté prévisible.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a) En l’espèce, l'ordonnance entreprise admet la requête de prolongation de la détention provisoire présentée par le Ministère public le 16 avril 2013. Le prévenu reconnaît l’existence à son détriment de charges suffisantes, à juste titre. Le recourant ne conteste pas davantage expressément l'existence d'un risque suffisant de réitération, concédant que celui-ci "n'est pas exclu". Ce péril apparaît avéré en raison des antécédents du prévenu et de l'importante série d'infractions dont il lui est fait grief pour les mois de février et de mars 2013, étant précisé que l'intéressé a réitéré peu après avoir été libéré le</w:t>
      </w:r>
    </w:p>
    <w:p>
      <w:r>
        <w:rPr>
          <w:b/>
        </w:rPr>
        <w:t>E. 7</w:t>
      </w:r>
    </w:p>
    <w:p>
      <w:r>
        <w:t>mars 2013 et qu'il semble avoir sévi dans un rayon géographique étendu. Le risque de réitération est d'autant plus sérieux que le prévenu doit être tenu pour hautement porté à la délinquance vu la récurrence et la gravité des actes qui lui sont reprochés, ainsi que le fait qu'il semble également avoir agi avec un comparse au moins. Les infractions contre le patrimoine, soit notamment la tentative de vol avec effraction et les vols à l'arraché, dont la réitération peut être redoutée en l'espèce, compromettent sérieusement la sécurité d’autrui au sens de l'art. 221 al. 1 let. c CPP. L'intéressé paraissant être un délinquant d'habitude, la jurisprudence fédérale précitée (TF 1B_344/2012 du 19 juin 2012 c. 3.2) est déterminante. Les conditions posées par l'art. 221 CPP étant alternatives, et non cumulatives (Forster, in : Niggli/Heer/Wiprächtiger [éd.], op. cit., n. 4 ad art. 221 CPP, p. 1460), point n'est besoin d'examiner les autres motifs légaux de détention provisoire. b)              Le recours ne tire pas davantage argument du risque de fuite, que le prévenu ne conteste pas. En revanche, dans ses déterminations du 18 avril 2013, l'intéressé a fait valoir qu'il "n'a[vait] pas manifesté la moindre intention de quitter la Suisse", malgré son incarcération, selon lui dans de mauvaises conditions, d'une part, et en dépit de l'absence avouée de toute attache avec notre pays, d'autre part. D'office et par surabondance, il doit être relevé que le risque de fuite est considérable au sens de l'art. 221 al. 1 let. a CPP, s'agissant d'un prévenu étranger, dépourvu d'attaches en Suisse de son propre aveu, si ce n'est son statut de requérant d'asile, qui n'apparaît pas de nature à le dissuader de tenter de se soustraire aux poursuites pénales en quittant la Suisse. c) Pour le surplus, sous l'angle de l'art. 212 al. 3 CPP, le recourant conteste principalement la proportionnalité entre la durée de la détention provisoire prolongée et celle de la peine privative de liberté susceptible d'être prononcée. En l'état de l'enquête, il existe de forts soupçons que le prévenu fasse métier de vol, le cas échéant même qu'il agisse parfois en bande. Au regard de l'ensemble des cas pour lesquels le recourant est susceptible d'être renvoyé en jugement au terme de l'instruction conduite par le Ministère public de l'arrondissement de Lausanne, il apparaît qu'il encourt une peine privative de liberté d'une durée supérieure à celle de la détention provisoire dont la prolongation a été ordonnée, étant précisé que celle-ci n'a débuté que le 26 mars 2013, soit depuis quelque deux mois et demi à la date du présent arrêt, et que l'apport de la durée de la précédente détention provisoire, pour la période du 9 février au 7 mars 2013, n'est pas de nature à modifier l'appréciation sur ce point. Peu importe au surplus que la peine soit éventuellement susceptible d'être assortie du sursis. La proportionnalité apparaît dès lors assurément encore respectée (ATF 133 I 168 c. 4.1; ATF 132 I 21 c. 4.1). d) Enfin, il apparaît que le seul moyen propre à parer au risque de fuite au stade actuel de l'enquête est la détention provisoire. En effet, il tombe sous le sens que le prévenu risque de ne pas obtempérer aux assignations des autorités suisses et de tenter ainsi de se soustraire à la répression pénale, notamment en retournant dans son état d'origine au bénéfice de la non-extradition des nationaux. 4. Il résulte de ce qui précède que c’est à bon droit que le Tribunal des mesures de contrainte a estimé que les conditions de la détention provisoire du prévenu restaient réunies en l'état, le terme prévu au 28 juin 2013 ne prêtant pas le flanc à la critique, vu l'état de l'enquête. Partant, le recours, manifestement mal fondé, doit être rejeté sans autres échanges d’écritures (art. 390 al. 2 CPP). Les frais de la procédure de recours, constitués en l’espèce de l'émolument d'arrêt (art. 422 al. 1 CPP), par 990 fr. (art. 20 al. 1 TFJP [tarif des frais judiciaires pénaux; RSV 312.03.1]), et des frais imputables à la défense d’office (art. 422 al. 1 et 2 let. a CPP), fixés à 270 fr. plus la TVA, par 21 fr. 60, soit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avril 2013 est confirmée. III. L'indemnité allouée au défenseur d'office de Q.________ est fixée à 291 fr. 60 (deux cent nonante et un francs et soixante centimes). IV. Les frais du présent arrêt, par 990 fr. (neuf cent nonante francs), ainsi que l’indemnité due au défenseur d’office du recourant selon le chiffre III ci-dessus, sont mis à la charge de Q.________. V. Le remboursement à l'Etat de l'indemnité allouée au chiffre III ci-dessus sera exigible pour autant que la situation économique de Q.________ se soit améliorée. VI. Le présent arrêt est exécutoire. Le président :               Le greffier : Du L'arrêt qui précède, dont la rédaction a été approuvée à huis clos, est notifié, par l'envoi d'une copie complète, à : - Mme Françoise Trümpy-Waridel, avocate (pour Q.________), - Ministère public central, et communiqué à : ‑ Madame la Présidente du Tribunal des mesures de contrainte,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