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412 vom 16. April 2013</w:t>
      </w:r>
    </w:p>
    <w:p>
      <w:r>
        <w:t>VD Tribunal cantonal, 2013-04-16, FR</w:t>
      </w:r>
    </w:p>
    <w:p>
      <w:r>
        <w:rPr>
          <w:b/>
        </w:rPr>
        <w:t xml:space="preserve">Quelle: </w:t>
      </w:r>
      <w:r>
        <w:t>https://mcp.opencaselaw.ch/entscheid/vd_findinfo_D_cision___2013___412</w:t>
      </w:r>
    </w:p>
    <w:p>
      <w:r>
        <w:t>FR: VD_FINDINFO Décision / 2013 / 412 du 16 avril 2013</w:t>
      </w:r>
    </w:p>
    <w:p>
      <w:r>
        <w:t>IT: VD_FINDINFO Décision / 2013 / 412 del 16 aprile 2013</w:t>
      </w:r>
    </w:p>
    <w:p>
      <w:pPr>
        <w:pStyle w:val="Heading2"/>
      </w:pPr>
      <w:r>
        <w:t>Regeste</w:t>
      </w:r>
    </w:p>
    <w:p>
      <w:r>
        <w:t>ACTE D'ORDRE SEXUEL SUR UN INCAPABLE DE DISCERNEMENT, ABUS DE LA DÉTRESSE, CLASSEMENT DE LA PROCÉDURE | 191 CP, 193 CP, 319 CPP (CH), 393 al. 1 let. a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386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La recourante fait grief au Procureur de ne pas avoir retenu les actes d'ordre sexuel commis sur une personne incapable de discernement ou de résistance et l’abus de la détresse, alors que les agissements du prévenu seraient selon elle constitutifs de ces infractions.</w:t>
      </w:r>
    </w:p>
    <w:p>
      <w:r>
        <w:rPr>
          <w:b/>
        </w:rPr>
        <w:t>E. 3.1</w:t>
      </w:r>
    </w:p>
    <w:p>
      <w:r>
        <w:t>Aux termes de l'art. 191 CP (Code pénal suisse du 21 décembre 1937; RS 311.0),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vise à protéger la liberté et l'honneur sexuels des personnes psychiquement ou physiquement inaptes à se défendre contre des sollicitations d'ordre sexuel. On parle d'incapacité de discernement lorsque les aptitudes mentales de la personne ne lui permettent pas de comprendre la signification et la portée des relations sexuelles, et de se déterminer en toute connaissance de cause. Il s'agit d'une notion relative. Il appartient au juge d'apprécier si la victime était apte à se défendre dans le domaine sexuel, et de décider si oui ou non la victime était consentante (Dupuis et al., Petit Commentaire du Code pénal, Bâle 2012, nn. 1 et 9 ad art. 191 et les références citées). Selon l'art. 193 al. 1 CP, celui qui, profitant de la détresse où se trouve la victime ou d'un lien de dépendance fondé sur des rapports de travail ou d'un lien de dépendance de toute autre nature, aura déterminé celle-ci à commettre ou à subir un acte d'ordre sexuel, sera puni d'un peine privative de liberté de trois ans au plus ou d'une peine pécuniaire. Cet article protège également la libre détermination des individus en matière sexuelle. La détresse est un état de la victime que l'auteur constate et dont il use. L'état de détresse peut être objectif ou subjectif (Dupuis et al., op. cit., nn. 1 et 5 ss ad art. 193 et les références citées). Est dépendante la victime qui n'est pas libre en raison d'une des circonstances énumérées par la loi, et qui par conséquent se trouve objectivement ou subjectivement à la merci de l'auteur de l'infraction ou de son assistance (Dupuis et al., op. cit., n. 9 ad art. 193 et les références citées).</w:t>
      </w:r>
    </w:p>
    <w:p>
      <w:r>
        <w:rPr>
          <w:b/>
        </w:rPr>
        <w:t>E. 3.2</w:t>
      </w:r>
    </w:p>
    <w:p>
      <w:r>
        <w:t>En l'espèce, compte tenu des éléments au dossier et des mesures d'instruction opérées, notamment l'audition de la plaignante (PV aud. 2) et l'expertise psychiatrique du prévenu (P. 114), la cour de céans constate qu'il n'est pas possible d'exclure, à ce stade de la procédure, toute application de l'art. 191 ou 193 CP (subsidiairement aux art. 188 à 191 CP). Il existe en effet des incertitudes quant à la réalisation des éléments constitutifs de ces infractions, en particulier quant à la capacité de discernement de la plaignante, à la nature des liens qui unissaient les parties et à l’emprise exercée par le prévenu sur la recourante. A cet égard, il est rappelé que la distinction entre les art. 188, 189, 191 et 193 CP est particulièrement délicate à opérer et qu'il appartient au juge de déterminer si la victime était apte à se défendre dans le domaine sexuel et de décider si oui ou non la victime était consentante (cf. supra c. 3.1; ATF 120 IV 194 c. 2c). Dans ces circonstances, force est de constater que la cause soulève plusieurs questions de fait et de droit. Le principe in dubio pro duriore commande donc la mise en accusation du prévenu pour actes d'ordre sexuel commis sur une personne incapable de discernement ou de résistance et abus de la détresse, ce d'autant plus que les infractions qui lui sont reprochées sont graves. Il appartiendra dès lors à l'autorité de jugement d'éclaircir les faits et d'opérer les distinctions juridiques nécessaires.</w:t>
      </w:r>
    </w:p>
    <w:p>
      <w:r>
        <w:rPr>
          <w:b/>
        </w:rPr>
        <w:t>E. 4</w:t>
      </w:r>
    </w:p>
    <w:p>
      <w:r>
        <w:t>En définitive, le recours de V.________ doit être admis, l'ordonnance de classement du 18 février 2013 annulée au chiffre VI de son dispositif et le dossier de la cause renvoyé au Ministère public central pour qu'il procède dans le sens des considérants et rende une nouvelle décision. S'agissant des dépens réclamés par la recourante, la cour constate qu’ils ne sont pas chiffrés et qu’aucune liste des opérations n’a été produite. De toute manière, cette demande est prématurée et il appartiendra le cas échéant à la recourante de la présenter auprès de l'autorité pénale qui aura à rendre la décision finale (art. 429 al. 1 let. a et al. 2 CPP; art. 433 al. 1 let. a CPP; cf. Mizel/Rétornaz, in : Kuhn/Jeanneret [éd.], Code de procédure pénale suisse, Commentaire romand, Bâle 2011, n. 51 et 53 ad art. 429 CPP; CREP 10 janvier 2013/15; CREP 11 juin 2012/403; CREP 9 décembre 2011/594 c. 3c). Les frais de la procédure de recours, constitués en l’espèce de l’émolument d'arrêt, par 880 fr. (art. 20 al. 1 TFJP [tarif des frais judiciaires pénaux du 28 septembre 2010; RSV 312.03.1]), seront mis à la charge de K.________, qui a conclu au rejet du recours et qui succombe (art. 428 al. 1 CPP). Par ces motifs, la Chambre des recours pénale, statuant à huis clos, prononce : I. Le recours est admis. II. L'ordonnance de classement du 18 février 2013 est annulée au chiffre VI de son dispositif et le dossier de la cause est renvoyé au Ministère public central pour qu'il procède dans le sens des considérants. III. Les frais du présent arrêt, par 880 fr. (huit cent huitante francs), sont mis à la charge de K.________. IV. Le présent arrêt est exécutoire. Le vice-président : La greffière : Du L'arrêt qui précède, dont la rédaction a été approuvée à huis clos, est notifié, par l'envoi d'une copie complète, à : - Me Nicole Wiebach, avocate (pour V.________), - Me Mathias Burnand, avocat (pour K.________), - Ministère public central, et communiqué à : ‑ M. le Procureur du Ministère public central, division affaires spéciales, contrôle et mineurs, - Me Isabelle Jaques, avocate (pour Q.________), - Mme J.________, - Mme O.________, - M. D.________,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