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388 vom 30. April 2013</w:t>
      </w:r>
    </w:p>
    <w:p>
      <w:r>
        <w:t>VD Tribunal cantonal, 2013-04-30, FR</w:t>
      </w:r>
    </w:p>
    <w:p>
      <w:r>
        <w:rPr>
          <w:b/>
        </w:rPr>
        <w:t xml:space="preserve">Quelle: </w:t>
      </w:r>
      <w:r>
        <w:t>https://mcp.opencaselaw.ch/entscheid/vd_findinfo_D_cision___2013___388</w:t>
      </w:r>
    </w:p>
    <w:p>
      <w:r>
        <w:t>FR: VD_FINDINFO Décision / 2013 / 388 du 30 avril 2013</w:t>
      </w:r>
    </w:p>
    <w:p>
      <w:r>
        <w:t>IT: VD_FINDINFO Décision / 2013 / 388 del 30 aprile 2013</w:t>
      </w:r>
    </w:p>
    <w:p>
      <w:pPr>
        <w:pStyle w:val="Heading2"/>
      </w:pPr>
      <w:r>
        <w:t>Regeste</w:t>
      </w:r>
    </w:p>
    <w:p>
      <w:r>
        <w:t>DÉTENTION PROVISOIRE, MINISTÈRE PUBLIC, PROPORTIONNALITÉ | 222 CPP (CH), 229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En l’espèce, il y a donc lieu d’entrer en matière sur les recours du Ministère public, qui a été interjeté en temps utile (cf. art. 384 let. b et 396 al. 1 CPP), devant l’autorité compétente (art. 13 LVCPP [loi d’introduction du code de procédure pénale suisse; RSV 312.01]; art. 80 LOJV [loi d’organisation judiciaire; RSV 173.01]) et qui satisfait aux conditions de forme posées par l’art. 385 al. 1 CPP. Sur ce dernier point, il y a lieu de constater que – contrairement à ce que soutient le prévenu dans ses déterminations du 26 avril 2013 – la motivation du Ministère public consistant à relever que le principe de proportionnalité est respecté dès lors que la peine privative de liberté subie au jour du jugement sera encore inférieure à la peine privative de liberté susceptible d'être prononcée est suffisante pour permettre à la Cour de céans d'entrer en matière sur le recours.</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7ss ad art. 221 CPP). b)              Aux termes de l'art. 212 al. 3 CPP, la détention provisoire et la détention pour des motifs de sûreté ne doivent toutefois pas durer plus longtemps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 jurisprudence du Tribunal fédéral, 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 4.1 et les arrêts cités). Il convient d'accorder une attention particulière à cette limite, car le juge de l'action pénale pourrait être enclin à prendre en considération, lors de la fixation de la peine, la durée de la détention préventive à imputer selon l'art. 51 CP (ATF 133 I 168 c. 4.1 et les arrêts cités). Selon la jurisprudence concordante du Tribunal fédéral et de la Cour européenne des droits de l'homme, la proportionnalité de la durée de la détention doit être examinée au regard de l'ensemble des circonstances concrètes du cas d'espèce (ATF 133 I 168 c. 4.1 et les arrêts cités). Enfin, il n'appartient pas au juge de la détention de se livrer à un pronostic détaillé de la peine qui sera prononcée, mais il lui incombe uniquement de vérifier, sous l'angle de la vraisemblance, que le maintien en détention avant jugement repose sur des indices de culpabilité suffisants (cf. ATF 116 Ia 143 c. 3c p. 146 et les références citées). c)              En l'occurrence, les parties ne contestent pas, à juste titre, qu'il existe, d'une part, des indices sérieux de culpabilité et, d'autre part, un risque de fuite susceptibles de justifier le maintien de X.________ en détention pour des motifs de sûreté. S'agissant du respect du principe de proportionnalité, il ressort du dossier que le prévenu a été détenu du 11 au 19 juillet 2012, puis à compter du 20 août 2012. Au jour de l'audience, soit le 21 mai 2013, il aura donc subi un total de 284 jours de détention avant jugement, soit un peu plus de neuf mois. Toutefois, compte tenu de la gravité des infractions reprochées au recourant – les neuf cas de vol retenus dans l'acte d'accusation ne permettant pas d'exclure l'aggravante du métier à ce stade (cf. art. 139 ch. 2 CP) – et de ses nombreux antécédents – l'extrait de son casier judiciaire faisant état de sept condamnations prononcées entre 2008 et 2011 pour des actes similaires à ceux qui lui sont reprochés dans le cadre de la présente procédure –, la durée de la détention avant jugement est encore compatible avec la peine encourue concrètement en cas de condamnation. Dans l'acte d'accusation, le Ministère public a d'ailleurs requis une peine substantiellement supérieure à la détention avant jugement subie, si bien que l'on ne peut pas encore considérer à ce stade que la détention avant jugement serait "très proche" de la durée de la peine privative de liberté à laquelle il faut s'attendre concrètement en cas de condamnation. Par surabondance, il n'apparaît pas que la détention sera prolongée outrancièrement dans la mesure où la date de l'audience de jugement est fixée au 21 mai 2013, soit moins d'un mois après l'audience initialement prévue le 24 avril 2013. Enfin, dans le cas d'espèce, aucune mesure de substitution au sens de l'art. 237 CPP n'est apte à parer au risque de fuite retenu. En conséquence, la proportionnalité entre la durée totale des périodes de détention avant jugement, d'une part, et celle de la peine privative de liberté susceptible d'être prononcée, d'autre part, est et sera encore respectée jusqu'au 21 mai 2013.</w:t>
      </w:r>
    </w:p>
    <w:p>
      <w:r>
        <w:rPr>
          <w:b/>
        </w:rPr>
        <w:t>E. 3</w:t>
      </w:r>
    </w:p>
    <w:p>
      <w:r>
        <w:t>Il résulte de ce qui précède que le recours du Ministère public doit être admis et l'ordonnance du 26 avril 2013 réformée en ce sens que la détention pour des motifs de sûreté de X.________ est ordonnée jusqu'au 21 mai 2013 au plus tard.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laissés à la charge de l'Etat. Par ces motifs, la Chambre des recours pénale, statuant à huis clos prononce : I. Le recours du Ministère public est admis. II. L'ordonnance du 26 avril 2013 est réformée en ce sens que la détention pour des motifs de sûreté de X.________ est ordonnée jusqu'au 21 mai 2013 au plus tard. III. L'indemnité allouée au défenseur d'office de X.________ est fixée à 388 fr. 80 (trois cent huitante-huit francs et huitante centimes), TVA comprise. IV. Les frais du présent arrêt, par 880 fr. (huit cent huitante francs), ainsi que l'indemnité due au défenseur d'office de X.________ par 388 fr. 80 (trois cent huitante-huit francs et huitante centimes), sont laissés à la charge de l'Etat. V. Le présent arrêt est exécutoire. Le président :               La greffière : Du L'arrêt qui précède, dont la rédaction a été approuvée à huis clos, est notifié, par l'envoi d'une copie complète, à : - M. Olivier Bastian, avocat (pour X.________) - Ministère public central et communiqué à : ‑ Mme la Présidente du Tribunal des mesures de contrainte, - M. le Président du Tribunal d’arrondissement de Lausanne, - Mme la Procureure de l'arrondissement de Lausanne, - Etablissement de Champ Dollon,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