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381 vom 26. April 2013</w:t>
      </w:r>
    </w:p>
    <w:p>
      <w:r>
        <w:t>VD Tribunal cantonal, 2013-04-26, FR</w:t>
      </w:r>
    </w:p>
    <w:p>
      <w:r>
        <w:rPr>
          <w:b/>
        </w:rPr>
        <w:t xml:space="preserve">Quelle: </w:t>
      </w:r>
      <w:r>
        <w:t>https://mcp.opencaselaw.ch/entscheid/vd_findinfo_D_cision___2013___381</w:t>
      </w:r>
    </w:p>
    <w:p>
      <w:r>
        <w:t>FR: VD_FINDINFO Décision / 2013 / 381 du 26 avril 2013</w:t>
      </w:r>
    </w:p>
    <w:p>
      <w:r>
        <w:t>IT: VD_FINDINFO Décision / 2013 / 381 del 26 aprile 2013</w:t>
      </w:r>
    </w:p>
    <w:p>
      <w:pPr>
        <w:pStyle w:val="Heading2"/>
      </w:pPr>
      <w:r>
        <w:t>Regeste</w:t>
      </w:r>
    </w:p>
    <w:p>
      <w:r>
        <w:t>EXÉCUTION DES PEINES ET DES MESURES, DÉTENTION PRÉVENTIVE, EXÉCUTION PAR SUBSTITUTION{SANCTION}, FRAIS D'ASSISTANCE, FRAIS{EN GÉNÉRAL}, INDEMNITÉ{EN GÉNÉRAL} | 10 al. 2 Cst., 36 Cst., 5 al. 2 Cst., 2 al. 1 LEP, 222 CPP (CH), 237 CPP (CH), 393 al. 1 let. a CPP (CH), 436 al. 2 CPP (CH)</w:t>
      </w:r>
    </w:p>
    <w:p>
      <w:pPr>
        <w:pStyle w:val="Heading2"/>
      </w:pPr>
      <w:r>
        <w:t>Erwägungen</w:t>
      </w:r>
    </w:p>
    <w:p>
      <w:r>
        <w:rPr>
          <w:b/>
        </w:rPr>
        <w:t>E. 1</w:t>
      </w:r>
    </w:p>
    <w:p>
      <w:r>
        <w:t>Interjeté dans le délai légal (art. 396 al. 1 CPP) contre une décision du Ministère public (art. 393 al. 1 let. a CPP), dans les formes prescrites (art. 385 al. 1 CPP), par le prévenu qui a qualité pour recourir (art. 382 al. 1 CPP), le recours formé par Y.________ contre l'ordonnance rendue le 6 mars 2013 par le Ministère public est recevable.</w:t>
      </w:r>
    </w:p>
    <w:p>
      <w:r>
        <w:rPr>
          <w:b/>
        </w:rPr>
        <w:t>E. 2</w:t>
      </w:r>
    </w:p>
    <w:p>
      <w:r>
        <w:t>Selon l’art. 382 CPP, toute partie ayant un intérêt juridiquement protégé à l’annulation ou à la modification d’une décision a qualité pour recours contre celle-ci. Compte tenu du transfert de Y.________ en exécution de peine anticipée, il n'existe en principe plus d'intérêt pratique et actuel au traitement du recours. La jurisprudence considère néanmoins que lorsqu'une irrégularité constitutive d'une violation d'une garantie constitutionnelle a entaché la procédure relative à la détention provisoire, celle-ci doit en principe être réparée par une décision de constatation (ATF 138 IV 81 consid. 2.4 p. 85; 137 IV 92 consid. 3 p. 96; 136 I 274 consid. 2.3 p. 278). Il en va de même en cas de violation de la CEDH (Convention du 4 novembre 1950 de sauvegarde des droits de l'homme et des libertés fondamentales; RS 0.101), l’art. 13 CEDH conférant un droit à un recours effectif devant une instance nationale dans l’hypothèse d’une telle violation (ATF 136 I 271 JdT 2010 IV 153). En l'espèce, il y a ainsi lieu d'entrer en matière sur le recours dans la mesure où les griefs contre la décision litigieuse ne pourront plus être traités matériellement dans la suite de la procédure.</w:t>
      </w:r>
    </w:p>
    <w:p>
      <w:r>
        <w:rPr>
          <w:b/>
        </w:rPr>
        <w:t>E. 3</w:t>
      </w:r>
    </w:p>
    <w:p>
      <w:r>
        <w:t>a) Le recourant a invoqué une violation des art. 197 al. 2 et 237 CPP, 5 al. 2, 10 al. 2 et 36 al. 3 Cst (Constitution fédérale du 18 avril 1999; RS 101). Le maintien en détention provisoire en lieu et place de la mesure de substitution ordonnée pourrait par ailleurs violer l’art.  5 ch. 1 et 3 CEDH. b) Une violation de l’art. 197 al. 2 CPP n’est pas concevable ex lege, cette disposition ne s’appliquant qu’aux personnes qui n’ont pas le statut de prévenu. c) Selon l’art. 237 al. 1 CPP, le tribunal compétent ordonne une ou plusieurs mesures moins sévères en lieu et place de la détention provisoire ou de la détention pour des motifs de sûreté si ces mesures permettent d’atteindre le même but que la détention. L'art. 237 CPP est une disposition impérative. Ce caractère impératif fonde l’obligation de principe pour l’Etat d’avancer les frais inhérents et particuliers à l’exécution d’une mesure de substitution, à l'exception des mesures de substitution dont la nature impose une prestation économique à charge du prévenu ou d'un tiers, telle que fourniture de sûretés, prestations de soins, etc. Subordonner la mise en place d’une mesure de substitution à son financement anticipé par le prévenu pourrait vider l’art. 237 CPP de son sens et de son but de même que battre en brèche le principe d’égalité de traitement, l’accès à la mesure de substitution ne devenant dans certains cas possible qu’au prévenu solvable. d) Les frais d’exécution d’une mesure de substitution doivent être qualifiés de débours au sens de l’art. 422 al. 2 CPP, étant rappelé que la liste des débours énumérés dans cette disposition n’est pas exhaustive. Il s’agit donc de frais de procédure, lesquels, comme le prévoit l’art. 423 al. 1 CPP, sont mis à la charge de la Confédération ou du canton qui a conduit la procédure, sauf disposition contraire du CPP. Selon la jurisprudence, il appartient au canton de supporter les frais de procédure échus jusqu’à la clôture de l’instruction, respectivement jusqu’au jugement au fond (ATF 138 IV 225 consid. 8). Ce n’est en effet qu’à ce stade qu’il peut être statué sur le sort des frais de procédure, en application de l’art. 426 CPP notamment. e) On ne saurait par ailleurs déduire de la mention par le Tribunal des mesures de contrainte d’un traitement sur un mode volontaire une quelconque obligation pour le recourant de subvenir personnellement au financement de la mesure de substitution. Bien au contraire, cette autorité ordonne, sans interprétation possible, un traitement à titre de mesure de substitution, en lieu et place de la détention. Peu importe en l’occurrence que le qualificatif de volontaire se rapporte aux conditions d’admission au Foyer des Rives du Rhône, qui prévoient une admission sur un mode volontaire, ou soit destiné à distinguer ce traitement de la mesure institutionnelle susceptible d’être ordonnée au sens de l’art. 60 CP.  L’élément déterminant réside en effet dans l’institution d’une mesure de substitution et non dans ses modalités d’exécution ou encore dans le fait qu’elle permette au recourant d’échapper aux exigences de l’expertise psychiatrique et du processus du DCIST. Ce dernier grief devait au demeurant être invoqué dans le cadre d'un recours contre la décision ordonnant la mesure de substitution. d) Cela étant, l’art. 237 al. 1 CPP, en articulation avec l’art. 423 al. 1 CPP, imposait, dans le cas d’espèce, à l’autorité de poursuite pénale d’avancer les frais de traitement de Y.________ au Foyer des Rives du Rhône. La cour de céans constate ainsi une violation des art. 237 et 423 al. 1 CPP, étant précisé que ce n'est qu'à l'issue de la procédure qu'il y aurait lieu de tirer les éventuelles conséquences d'une telle constatation.</w:t>
      </w:r>
    </w:p>
    <w:p>
      <w:r>
        <w:rPr>
          <w:b/>
        </w:rPr>
        <w:t>E. 4</w:t>
      </w:r>
    </w:p>
    <w:p>
      <w:r>
        <w:t>Il résulte de ce qui précède que le recours doit être admis dans le sens d'une constatation de l'irrégularité susmentionnée (cf. consid. 3a supra). Les frais de la procédure de recours, constitués en l’espèce de l’émolument d'arrêt, par 660 fr. (art. 20 al. 1 TFJP) et des frais imputables à la défense d’office (art. 422 al. 1 et 2 let. a CPP), fixés à 720 fr. plus la TVA par  57.60, seront mis à la charge de l'Etat. Par ces motifs, la Chambre des recours pénale, statuant à huis clos, prononce : I. Le recours est admis. II. Il est constaté que le refus du Ministère public de prendre en charge les frais de la mesure de substitution ordonnée les 4 et 7 février 2013 par le Tribunal des mesures de contraintes sous la forme du traitement de Y.________ auprès du Foyer les Rives du Rhône viole les art. 237 et 423 al. 1 CPP. III. L'indemnité allouée au défenseur d'office de Y.________ est fixée à 777 fr. 60 (sept cent septante-sept francs et soixante centimes), TVA comprise. IV. Les frais d'arrêt par 660 fr. (six cent soixante francs), ainsi que l'indemnité due au défenseur d'office du recourant, par 777 fr. 60 (sept cent septante-sept francs et soixante centimes), sont laissés à la charge de l'Etat. V. L'arrêt est exécutoire. Le vice-président : La greffière : Du L'arrêt qui précède, dont la rédaction a été approuvée à huis clos, est notifié, par l'envoi d'une copie complète, à : - Me Mathias Keller, avocat (pour Y.________),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