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372 vom 3. April 2013</w:t>
      </w:r>
    </w:p>
    <w:p>
      <w:r>
        <w:t>VD Tribunal cantonal, 2013-04-03, FR</w:t>
      </w:r>
    </w:p>
    <w:p>
      <w:r>
        <w:rPr>
          <w:b/>
        </w:rPr>
        <w:t xml:space="preserve">Quelle: </w:t>
      </w:r>
      <w:r>
        <w:t>https://mcp.opencaselaw.ch/entscheid/vd_findinfo_D_cision___2013___372</w:t>
      </w:r>
    </w:p>
    <w:p>
      <w:r>
        <w:t>FR: VD_FINDINFO Décision / 2013 / 372 du 3 avril 2013</w:t>
      </w:r>
    </w:p>
    <w:p>
      <w:r>
        <w:t>IT: VD_FINDINFO Décision / 2013 / 372 del 3 aprile 2013</w:t>
      </w:r>
    </w:p>
    <w:p>
      <w:pPr>
        <w:pStyle w:val="Heading2"/>
      </w:pPr>
      <w:r>
        <w:t>Regeste</w:t>
      </w:r>
    </w:p>
    <w:p>
      <w:r>
        <w:t>DÉFENSE D'OFFICE | 132 al. 1 let. b CPP (CH), 132 al. 2 CPP (CH), 132 al. 3 CPP (CH)</w:t>
      </w:r>
    </w:p>
    <w:p>
      <w:pPr>
        <w:pStyle w:val="Heading2"/>
      </w:pPr>
      <w:r>
        <w:t>Erwägungen</w:t>
      </w:r>
    </w:p>
    <w:p>
      <w:r>
        <w:rPr>
          <w:b/>
        </w:rPr>
        <w:t>E. 19</w:t>
      </w:r>
    </w:p>
    <w:p>
      <w:r>
        <w:t>mars 2012/244 c. 3), que les frais de la procédure de recours, par 660 fr. (art. 20 al. 1 TFJP [tarif des frais judiciaires pénaux du 28 septembre 2010; RSV 312.03.1]), seront mis à la charge du recourant, qui succombe (art. 428 al. 1 CPP). Par ces motifs, la Chambre des recours pénale, statuant à huis clos, prononce : I. Le recours est rejeté. II. L'ordonnance attaquée est confirmée. III. La requête tendant à la désignation d'un défenseur d'office à S.________ pour la procédure de recours est rejetée. IV. Les frais de la procédure de recours, par 660 fr. (six cent soixante francs), sont mis à la charge de S.________. V. L'arrêt est exécutoire. Le vice-président : Le greffier : Du L'arrêt qui précède, dont la rédaction a été approuvée à huis clos, est notifié, par l'envoi d'une copie complète, à : - Me Regina Andrade Ortuno, avocate (pour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