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367 vom 20. Februar 2013</w:t>
      </w:r>
    </w:p>
    <w:p>
      <w:r>
        <w:t>VD Tribunal cantonal, 2013-02-20, FR</w:t>
      </w:r>
    </w:p>
    <w:p>
      <w:r>
        <w:rPr>
          <w:b/>
        </w:rPr>
        <w:t xml:space="preserve">Quelle: </w:t>
      </w:r>
      <w:r>
        <w:t>https://mcp.opencaselaw.ch/entscheid/vd_findinfo_D_cision___2013___367</w:t>
      </w:r>
    </w:p>
    <w:p>
      <w:r>
        <w:t>FR: VD_FINDINFO Décision / 2013 / 367 du 20 février 2013</w:t>
      </w:r>
    </w:p>
    <w:p>
      <w:r>
        <w:t>IT: VD_FINDINFO Décision / 2013 / 367 del 20 febbraio 2013</w:t>
      </w:r>
    </w:p>
    <w:p>
      <w:pPr>
        <w:pStyle w:val="Heading2"/>
      </w:pPr>
      <w:r>
        <w:t>Regeste</w:t>
      </w:r>
    </w:p>
    <w:p>
      <w:r>
        <w:t>CLASSEMENT DE LA PROCÉDURE, LÉSION CORPORELLE PAR NÉGLIGENCE | 125 CP, 319 CPP (CH), 393 al. 1 let. a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382 al. 1 CPP), le recours est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w:t>
      </w:r>
    </w:p>
    <w:p>
      <w:r>
        <w:rPr>
          <w:b/>
        </w:rPr>
        <w:t>E. 3</w:t>
      </w:r>
    </w:p>
    <w:p>
      <w:r>
        <w:t>a) Le recourant invoque d'abord une violation de son droit d'être entendu. Il reproche au procureur d'avoir refusé de procéder à son audition, alors qu'il s'agirait du seul témoignage à charge contre T.________, lequel porterait en outre sur des faits pertinents et non établis. b) Le droit d'être entendu garanti par l'art. 29 al. 2 Cst. comporte notamment le droit de fournir des preuves, sollicitées en temps utile et dans les formes prescrites, quant aux faits de nature à influer sur la décision à ( ATF 125 I 127 c. 6c/cc et les arrêts cités).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130 II 425 c. 2.1; ATF 124 I 208 c. 4a). c) En l'espèce, le Ministère public avait certes envisagé l'audition du recourant (P. 10; PV aud. 1, p. 3), mais bien avant l'administration d'autres preuves, notamment des échanges de courriers et de courriels entre T.________ et l'entreprise [...] SA (P. 26), et la production du croquis du lieu de l'accident effectué par la police (P. 18). Sur la base de ces éléments de preuve ultérieurs et dans la mesure où, d'une part, la plainte est suffisamment détaillée et, d'autre part, le recourant n'invoque pas qu'elle serait lacunaire, on ne voit pas en quoi l'audition du plaignant, qui n'a pas un droit absolu à être entendu, apporterait des éléments nouveaux déterminants. Sous l'angle de l'appréciation anticipée des preuves, le rejet par le procureur de la requête d'audition du recourant échappe à la critique.</w:t>
      </w:r>
    </w:p>
    <w:p>
      <w:r>
        <w:rPr>
          <w:b/>
        </w:rPr>
        <w:t>E. 4</w:t>
      </w:r>
    </w:p>
    <w:p>
      <w:r>
        <w:t>a) Le recourant fait ensuite valoir que le prévenu aurait dû réduire sa vitesse sur une route à visibilité réduite et que, probablement affairé avec son téléphone et donc inattentif, il ne serait pas resté maître de son véhicule. Ainsi, d'une part, le prévenu aurait été incapable de stopper sa course sur la distance visible et, d'autre part, il aurait terminé sa course sur la voie inverse, sur laquelle se trouvait le recourant, qui terminait sa manœuvre d'engagement sur la route de Grens. T.________ aurait ainsi violé les devoirs de prudence que lui imposaient les circonstances et, étant à l'origine des lésions corporelles graves subies par le recourant, il devrait être reconnu coupable de lésions corporelles graves par négligence au sens de l'art. 125 CP. b) En vertu de l’art. 125 CP, celui qui, par négligence, fait subir à une personne une atteinte à son intégrité corporelle ou à la santé se rend coupable de lésions corporelles par négligence. L'infraction est ainsi réalisée lorsque trois éléments sont réunis, à savoir une négligence commise par l'auteur, une lésion corporelle subie par la victime et un lien de causalité naturelle et adéquate entre la négligence et la lésion (TF 6B_639/2011 du 5 décembre 2011 c. 2.1). S'agissant plus particulièrement de la négligence, l'art. 12 al. 3 CP la définit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122 IV 17 c. 2b). Pour déterminer plus précisément les devoirs imposés par la prudence, on peut se référer à des normes édictées par l'ordre juridique pour assurer la sécurité et éviter les accidents (TF 6B_543/2011 du 7 octobre 2011 c. 2.2). c) En l'espèce, les mesures d'instruction, en particulier les courriers et courriels de [...] SA, opérateur de téléphonie mobile de T.________, n'ont pas permis d'établir que ce dernier était affairé à son téléphone au moment de l'accident, comme le prétend le recourant. Il ne ressort pas non plus de l'instruction qu'il aurait fait montre d'une quelconque inattention. Au contraire, il ressort du dossier que X.________, qui est atteint de surdité totale d'une oreille et qui entend, au moyen d'un sonotone, de 20% de l'autre oreille, n'a pas respecté le signal "Cédez le passage", qu'il ne s'est donc pas arrêté, poursuivant sa route à une vitesse d'environ 10 à 15 km/h. Il n'a probablement pas entendu arriver la voiture conduite par T.________ et ne l'aura vue qu'une fois engagé sur le carrefour, soit trop tard, étant précisé qu'un champ de colza d'une hauteur de 1 mètre 60 masquait sa visibilité sur sa gauche et par conséquent également sur la voiture en cause, d'une hauteur de 1 mètre 40. Il s'ensuit qu'en une seconde, le recourant s'est retrouvé au milieu du carrefour et que T.________ ne pouvait donc rien faire pour l'éviter. Enfin, dans la mesure où il est établi que T.________ circulait sur une route clairement prioritaire, le recourant ne saurait tirer argument d'un éventuel point de choc situé sur l'autre voie de circulation que celle empruntée par T.________. En effet, selon la jurisprudence fédérale, la priorité appartient au bénéficiaire sur toute la surface de la route. Le débiteur de la priorité doit, notamment aux intersections sans visibilité, s'attendre à ce qu'un véhicule prioritaire surgisse à une vitesse excessive ou débouche sur sa moitié gauche de la route. Le principe que le droit de priorité s'étend sur toute la largeur de l'intersection l'emporte ainsi sur le principe de la confiance, de sorte que le non-prioritaire n'est plus mis au bénéfice de la supposition que le prioritaire se conformera aux règles de la circulation en tenant sa droite. Ce dernier peut, au demeurant, avoir des raisons légitimes de se déplacer sur sa gauche en traversant l'intersection, que le débiteur de la priorité n'est pas en mesure d'apprécier (cf. TF 6B_299/2011 du 1 er septembre 2011 c. 3.3 et les réf. cit.). Au vu de l'ensemble des considérations qui précèdent, on ne saurait reprocher à T.________ d'avoir commis une quelconque négligence, de sorte que l'infraction prévue à l'art. 125 CP ne peut être retenue à son encontre. Par ailleurs, aucune mesure d'instruction supplémentaire ne permettrait d'aboutir à une appréciation différente des faits. C'est donc à juste titre que le procureur a classé la procédure en faveur du prénommé.</w:t>
      </w:r>
    </w:p>
    <w:p>
      <w:r>
        <w:rPr>
          <w:b/>
        </w:rPr>
        <w:t>E. 5</w:t>
      </w:r>
    </w:p>
    <w:p>
      <w:r>
        <w:t>En définitive, le recours doit être rejeté et l'ordonnance attaquée confirmée. Les frais de la procédure de recours, constitués en l’espèce de l’émolument d'arrêt, par 990 fr. (art. 20 al. 1 TFJP [tarif des frais judiciaires pénaux; RSV 312.03.1]), seront mis à la charge du recourant, qui succombe (art. 428 al. 1 CPP). Par ces motifs, la Chambre des recours pénale, statuant à huis clos, prononce : I. Le recours est rejeté. II. L'ordonnance attaquée est confirmée. III. Les frais de la procédure de recours, par 990 fr. (neuf cent nonante francs), sont mis à la charge de X.________. IV. Le présent arrêt est exécutoire. Le vice-président : La greffière : Du L'arrêt qui précède, dont la rédaction a été approuvée à huis clos, est notifié, par l'envoi d'une copie complète, à : - M. Yvan Jeanneret, avocat (pour X.________), - M. Henri Bercher, avocat (pour T.________),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