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353 vom 16. April 2013</w:t>
      </w:r>
    </w:p>
    <w:p>
      <w:r>
        <w:t>VD Tribunal cantonal, 2013-04-16, FR</w:t>
      </w:r>
    </w:p>
    <w:p>
      <w:r>
        <w:rPr>
          <w:b/>
        </w:rPr>
        <w:t xml:space="preserve">Quelle: </w:t>
      </w:r>
      <w:r>
        <w:t>https://mcp.opencaselaw.ch/entscheid/vd_findinfo_D_cision___2013___353</w:t>
      </w:r>
    </w:p>
    <w:p>
      <w:r>
        <w:t>FR: VD_FINDINFO Décision / 2013 / 353 du 16 avril 2013</w:t>
      </w:r>
    </w:p>
    <w:p>
      <w:r>
        <w:t>IT: VD_FINDINFO Décision / 2013 / 353 del 16 aprile 2013</w:t>
      </w:r>
    </w:p>
    <w:p>
      <w:pPr>
        <w:pStyle w:val="Heading2"/>
      </w:pPr>
      <w:r>
        <w:t>Regeste</w:t>
      </w:r>
    </w:p>
    <w:p>
      <w:r>
        <w:t>NON-LIEU, CLASSEMENT DE LA PROCÉDURE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La qualification juridique des faits faisant l'objet de la plainte relève de la compétence des autorités pénales saisies (ATF 115 IV 1 c. 2a).</w:t>
      </w:r>
    </w:p>
    <w:p>
      <w:r>
        <w:rPr>
          <w:b/>
        </w:rPr>
        <w:t>E. 3</w:t>
      </w:r>
    </w:p>
    <w:p>
      <w:r>
        <w:t>a)              Le premier moyen du recours porte sur les allocations de maternité. Par renvoi implicite à sa plainte, la recourante fait grief à son ex-employeur de les avoir indûment conservées à son préjudice. Selon le décompte établi à l'attention de l'employeur le 15 mai 2006 par la caisse de compensation compétente pour le versement des allocations en cause (P. 5/2), il a été versé un montant de 17'875 fr. 60 pour 98 jours, soit du 6 avril au 12 juillet 2006. L’allocation journalière s'élevait à 172 francs. Le décompte faisait ainsi état de prestations de maternité totales à hauteur de 16'856 fr., auxquelles s'ajoutaient des cotisations sociales patronales par 1'019 fr. 60. La durée de 98 jours correspond au maximum prévu par l'art. 16d LAPG (loi fédérale du 25 septembre 1952 sur les allocations pour perte de gain; RS 834.1). A croire la recourante, celle-ci aurait en fait travaillé pendant son congé maternité. Elle produit, sous pièces 7/5 à 7/7, les décomptes de salaire d'avril à juin 2006. Il ressort des décomptes de salaire de mai et juin 2006 qu’elle a perçu son salaire de base mensuel de 3'400 fr. et la commission de 8 % sur le chiffre d'affaires réalisé par son équipe de télévendeurs. Certes, ces montants ne diffèrent pas sensiblement de ceux versés par la caisse d'allocations. Il y a cependant lieu d'entrer en matière sur ce volet de la plainte. En effet, de deux choses l'une : ou la recourante a effectivement travaillé, respectivement a été en vacances, pendant la totalité de son congé maternité, et l'employeur n'était pas en droit de percevoir les allocations perte de gain pour maternité; ou la recourante n'a pas travaillé pendant son congé maternité, et ce sont ces mêmes allocations qui auraient dû lui être effectivement versées pour autant que le salaire ne le fût pas, l'employeur étant subrogé dans les droits de la travailleuse jusqu'à due concurrence du salaire versé pour la même période. On ne saurait ainsi écarter l'hypothèse qu'il y ait eu acte illicite au sens des dispositions pénales de l'art. 87 al. 1 LAVS (loi fédérale du 20 décembre 1946 sur l’assurance-vieillesse et survivants; RS 831.10), applicable par renvoi de l’art. 25 LAPG. Par ailleurs, comme cela ressort de la P. 5/3, l'employeur a également obtenu de l'assurance-maladie collective un montant de 6'664 fr. en complément aux 98 jours d’APG pour maternité, cette somme représentant la différence entre l'indemnité journalière de 240 fr. assurée et l'indemnité journalière LAPG de 172 fr. allouée, durant 98 jours. Apparemment, la recourante n'a pas perçu cette indemnité-là. Si elle lui était effectivement due, se poserait alors la question d'un éventuel abus de confiance au sens de l'art. 138 CP (Code pénal; RS 311.0). b)              La recourante fait ensuite grief à son ex-employeur d'être à l'origine du redressement fiscal qu'elle a subi. A cet égard, c'est à tort qu'elle se plaint d'avoir été trompée. En effet, ses frais professionnels ne pouvaient à l'évidence atteindre l'équivalent de 25 % de son salaire brut, sachant que son employeur mettait à sa disposition un poste de travail et lui payait ses frais de téléphone. Cela étant, on ne voit pas quelles impenses professionnelles autres que les frais de déplacement de son domicile à son lieu de travail (normalement à sa charge à défaut de clause expresse dans le contrat de travail) elle aurait eu à supporter, d'autant qu'elle n'allègue pas l'existence de démarchage à domicile et que son contrat de travail précisait bien que l'activité concernait la vente par téléphone. Il n'existe ainsi aucune astuce dans le comportement décrit par la recourante. En revanche, il paraît avoir échappé au Ministère public que, si ces 25 % de frais prétendus devaient constituer un salaire, cette rémunération aurait alors été soustraite à l'obligation de retenue de cotisations et de primes des différentes assurances sociales, comme cela ressort des fiches de paie 2007 et 2008 (P. 7/11 et 7/12). En l'absence de justification concernant ces frais professionnels à hauteur de 25 % du revenu, on pourrait dès lors envisager une infraction à l'art. 87 al. 2. LAVS. c)              La recourante invoque enfin un détournement de ses primes de prévoyance professionnelle LPP (loi fédérale du 25 juin 1982 sur la prévoyance professionnelle vieillesse, survivants et invalidité; RS 831.40). La rémunération ici en cause, réputée soumise à la prévoyance professionnelle, n'excède pas la limite supérieure du salaire coordonné de l’art.</w:t>
      </w:r>
    </w:p>
    <w:p>
      <w:r>
        <w:rPr>
          <w:b/>
        </w:rPr>
        <w:t>E. 8</w:t>
      </w:r>
    </w:p>
    <w:p>
      <w:r>
        <w:t>LPP. L'assiette des cotisations AVS est donc la même que celle des primes LPP. Les pièces produites sont certes lacunaires et ne permettent pas de déterminer sur quels revenus devaient être calculées les primes LPP, respectivement si elles avaient effectivement été retenues et, enfin, quels montants avaient été versés à ce titre à l’institution de prévoyance. Il n’empêche que, si le salaire soumis aux cotisations sociales AVS/AI/APG/AC a été fictivement diminué de 25%, le salaire coordonné l'a été dans la même mesure, ce qui pourrait conduire à une infraction à l'art. 76 al. 2 LPP. 4. Dès lors, les faits, tels qu'ils résultent du dossier en l'état, n'excluent pas que les éléments constitutifs objectifs et subjectifs des diverses infractions au droit des assurances sociales mentionnées ci-dessus puissent être réalisés. Le principe " in dubio pro duriore" commande donc la poursuite de la procédure pour ce qui est de ces infractions. 5. Il résulte de ce qui précède que le recours doit être admis et l'ordonnance annulée, la cause étant renvoyée au Procureur pour qu'il en complète l'instruction dans le sens des considérants, puis rende une nouvelle décision. Les frais de la procédure de recours, composés de l'émolument d'arrêt, par 770 fr. (art. 20 al. 1 TFJP [Tarif des frais judiciaires pénaux du 28 septembre 2010, RSV 312.03.1]), seront laissés à la charge de l'Etat (art. 428 al. 1 CPP). Par ces motifs, la Chambre des recours pénale, statuant à huis clos, prononce : I. Le recours est admis. II. L'ordonnance de classement du 25 janvier 2013 est annulée. III. Le dossier de la cause est renvoyé au Ministère public de l'arrondissement de Lausanne pour qu'il procède dans le sens des considérants, puis rende une nouvelle décision. IV. Les frais du présent arrêt, par 770 fr. (sept cent septante francs), sont laissés à la charge de l'Etat. V. Le présent arrêt est exécutoire. Le vice-président : Le greffier : Du L'arrêt qui précède, dont la rédaction a été approuvée à huis clos, est notifié, par l'envoi d'une copie complète, à : - Mme P.________, - Ministère public central, et communiqué à :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