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338 vom 12. Februar 2013</w:t>
      </w:r>
    </w:p>
    <w:p>
      <w:r>
        <w:t>VD Tribunal cantonal, 2013-02-12, FR</w:t>
      </w:r>
    </w:p>
    <w:p>
      <w:r>
        <w:rPr>
          <w:b/>
        </w:rPr>
        <w:t xml:space="preserve">Quelle: </w:t>
      </w:r>
      <w:r>
        <w:t>https://mcp.opencaselaw.ch/entscheid/vd_findinfo_D_cision___2013___338</w:t>
      </w:r>
    </w:p>
    <w:p>
      <w:r>
        <w:t>FR: VD_FINDINFO Décision / 2013 / 338 du 12 février 2013</w:t>
      </w:r>
    </w:p>
    <w:p>
      <w:r>
        <w:t>IT: VD_FINDINFO Décision / 2013 / 338 del 12 febbraio 2013</w:t>
      </w:r>
    </w:p>
    <w:p>
      <w:pPr>
        <w:pStyle w:val="Heading2"/>
      </w:pPr>
      <w:r>
        <w:t>Regeste</w:t>
      </w:r>
    </w:p>
    <w:p>
      <w:r>
        <w:t>INFRACTIONS CONTRE LE PATRIMOINE, CLASSEMENT DE LA PROCÉDURE | 137 CP, 138 CP, 146 CP, 158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L'art. 137 ch. 1 CP prévoit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Une chose au sens de la disposition précitée est un objet matériel, délimité, susceptible d'appropriation et impersonnel. Il peut s'agir de corps à l'état solide, liquide ou gazeux, pourvu qu'ils soient suffisamment délimités. Peu importe que la chose ait une valeur intrinsèque ou non (Dupuis/Geller/Monnier/Moreillon/Piguet/Bettex/Stoll, Petit Commentaire du Code pénal, Bâle 2012, n. 11 ad art. 137 ss CP, pp. 738 s.). b) En l'occurrence, le portefeuille de mandats de gérance d'immeubles, que le recourant a apporté à la Régie W.________SA et qu'il reproche au prévenu d'avoir inclus dans la fixation du prix de vente des actions de la régie précitée au Groupe J.________SA, n'est manifestement pas une chose mobilière au sens de l'art. 137 CP. Par conséquent, l'infraction d'appropriation illégitime, ainsi que toute autre infraction contre le patrimoine dont l'objet constitue une chose mobilière, ne sauraient être retenues. Le recours doit donc être rejeté sur ce point.</w:t>
      </w:r>
    </w:p>
    <w:p>
      <w:r>
        <w:rPr>
          <w:b/>
        </w:rPr>
        <w:t>E. 4</w:t>
      </w:r>
    </w:p>
    <w:p>
      <w:r>
        <w:t>a) Selon l'art. 138 ch. 1 al. 2 CP, se rend coupable d’abus de confiance celui qui, sans droit, aura employé à son profit ou au profit d’un tiers des valeurs patrimoniales qui lui avaient été confiées. Sur le plan objectif, cette infraction suppose que l’on soit en présence d’une valeur confiée, ce qui signifie que l’auteur acquiert la possibilité de disposer d’une valeur patrimoniale, mais, selon un accord (exprès ou tacite) ou un autre rapport juridique, il ne peut en faire qu’un usage déterminé; l’auteur a donc la disposition de la valeur patrimoniale, mais la destination de cette valeur est fixée; le comportement délictueux consiste à utiliser la valeur patrimoniale contrairement aux instructions reçues, en s’écartant de cette destination (Corboz, Les infractions en doit suisse, Vol. I, 3 e éd., Berne 2010, nn. 21 s. ad art. 138 CP, pp. 240 s.). b) En l’espèce, se pose d'abord la question de savoir si le mandat de gérance constitue une valeur patrimoniale, respectivement s'il peut faire l'objet d'un abus de confiance. En effet, le recourant a apporté les mandats et non les honoraires résultant de ses mandats. Il ne ressort nullement du dossier qu'il aurait été convenu entre le recourant et l'intimé que la Régie W.________SA devait verser directement un certain pourcentage des honoraires au recourant. Cette question peut cependant rester ouverte, puisque dans tous les cas, il ne s'agirait pas de valeurs patrimoniales confiées. En effet, s'il est vrai que les circonstances dans lesquelles le recourant a apporté le portefeuille de mandats de gérance d'immeubles ne sont pas clairement définies, rien n'indique que le recourant ait transféré à C.________ le pouvoir de disposer du portefeuille de clientèle, moyennant l'engagement d'en faire un usage déterminé. Dès lors, quand bien même le résultat de l'analyse, sur le plan civil, aboutirait à la conclusion que la clientèle en cause appartenait au recourant, les éléments constitutifs de l’infraction d’abus de confiance (art. 138 ch. 1 al. 2 CP) ne seraient pas réunis. Mal fondé, le moyen relatif à la violation de l'art. 138 CP doit donc être rejeté.</w:t>
      </w:r>
    </w:p>
    <w:p>
      <w:r>
        <w:rPr>
          <w:b/>
        </w:rPr>
        <w:t>E. 5</w:t>
      </w:r>
    </w:p>
    <w:p>
      <w:r>
        <w:t>S'agissant de l'infraction de gestion déloyale, l'art. 158 CP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suppose un devoir de gestion entre les parties. Un tel devoir est toutefois inexistant entre le recourant et la Régie W.________SA ou C.________. Le recourant n'a pas rendu vraisemblable que C.________ ait pu être garant d'un tel devoir en vertu d'un autre contrat. Dès lors, l'un des éléments constitutifs de l'infraction n'est manifestement pas réalisé et la décision de classement doit également être confirmée concernant l'infraction de gestion déloyale.</w:t>
      </w:r>
    </w:p>
    <w:p>
      <w:r>
        <w:rPr>
          <w:b/>
        </w:rPr>
        <w:t>E. 6</w:t>
      </w:r>
    </w:p>
    <w:p>
      <w:r>
        <w:t>a)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sens de cette disposition suppose en particulier que l'auteur ait usé de tromperie et que celle-ci ait été astucieuse (ATF 128 IV 18 c. 3a; ATF 122 II 422 c. 3a; ATF 122 IV 246 c. 3a et les arrêts cités). b) En l'espèce, on ne saurait considérer que le comportement de C.________ constitue un édifice de mensonges, voire une mise en scène, qui pourrait entrer dans la définition jurisprudentielle de l'astuce. Du reste, le recourant ne développe aucun argument sur l'élément caractéristique de l'escroquerie qu'est l'astuce.</w:t>
      </w:r>
    </w:p>
    <w:p>
      <w:r>
        <w:rPr>
          <w:b/>
        </w:rPr>
        <w:t>E. 7</w:t>
      </w:r>
    </w:p>
    <w:p>
      <w:r>
        <w:t>Il résulte de l'ensemble des considérations qui précèdent qu'aucune infraction pénale ne saurait être retenue à l'encontre de C.________ et que l'affaire en cause est de nature exclusivement civile, quand bien même la qualification de l'apport de portefeuille clients par le recourant dans la société du prévenu et le rôle respectif de l'un et de l'autre quant à la gestion des mandats ainsi amenés ne sont pas clairement définis. C'est donc à bon droit que le procureur a rendu une ordonnance de classement en faveur du prénommé.</w:t>
      </w:r>
    </w:p>
    <w:p>
      <w:r>
        <w:rPr>
          <w:b/>
        </w:rPr>
        <w:t>E. 8</w:t>
      </w:r>
    </w:p>
    <w:p>
      <w:r>
        <w:t>En définitive, le recours, mal fondé, doit être rejeté et l'ordonnance attaquée confirmée. Les frais de la procédure de recours, constitués en l’espèce de l’émolument d'arrêt, par 880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d'arrêt, par 880 fr. (huit cent huitante francs), sont mis à la charge de S.________. IV. Le présent arrêt est exécutoire. Le vice-président : La greffière : Du L'arrêt qui précède, dont la rédaction a été approuvée à huis clos, est notifié, par l'envoi d'une copie complète, à : - M. Nicolas Saviaux, avocat (pour S.________), - M. Jean-Daniel Théraulaz, avocat (pour C.________), - Ministère public central; et communiqué à : ‑ M. le Procureur ad interim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