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327 vom 27. März 2013</w:t>
      </w:r>
    </w:p>
    <w:p>
      <w:r>
        <w:t>VD Tribunal cantonal, 2013-03-27, FR</w:t>
      </w:r>
    </w:p>
    <w:p>
      <w:r>
        <w:rPr>
          <w:b/>
        </w:rPr>
        <w:t xml:space="preserve">Quelle: </w:t>
      </w:r>
      <w:r>
        <w:t>https://mcp.opencaselaw.ch/entscheid/vd_findinfo_D_cision___2013___327</w:t>
      </w:r>
    </w:p>
    <w:p>
      <w:r>
        <w:t>FR: VD_FINDINFO Décision / 2013 / 327 du 27 mars 2013</w:t>
      </w:r>
    </w:p>
    <w:p>
      <w:r>
        <w:t>IT: VD_FINDINFO Décision / 2013 / 327 del 27 marzo 2013</w:t>
      </w:r>
    </w:p>
    <w:p>
      <w:pPr>
        <w:pStyle w:val="Heading2"/>
      </w:pPr>
      <w:r>
        <w:t>Regeste</w:t>
      </w:r>
    </w:p>
    <w:p>
      <w:r>
        <w:t>ACTE D'ORDRE SEXUEL AVEC UN ENFANT, PORNOGRAPHIE, DÉTENTION PROVISOIRE, RISQUE DE RÉCIDIVE | 221 al. 1 let. c CPP (CH), 221 al. 2 CPP (CH), 222 CPP (CH)</w:t>
      </w:r>
    </w:p>
    <w:p>
      <w:pPr>
        <w:pStyle w:val="Heading2"/>
      </w:pPr>
      <w:r>
        <w:t>Volltext</w:t>
      </w:r>
    </w:p>
    <w:p>
      <w:r>
        <w:t>Vaud Tribunal cantonal Chambre des recours civile 11.04.2013 Décision / 2013 / 327</w:t>
      </w:r>
    </w:p>
    <w:p>
      <w:r>
        <w:t>ACTE D'ORDRE SEXUEL AVEC UN ENFANT, PORNOGRAPHIE, DÉTENTION PROVISOIRE, RISQUE DE RÉCIDIVE | 221 al. 1 let. c CPP (CH), 221 al. 2 CPP (CH), 222 CPP (CH)</w:t>
      </w:r>
    </w:p>
    <w:p>
      <w:r>
        <w:t>TRIBUNAL CANTONAL 189 PE13.005402-XCR CHAMBRE DES RECOURS PENALE __________________________________________ Séance du 11 avril 2013 __________________ Présidence de               M. Sauterel , juge présidant Juges :              M. Meylan et Mme Dessaux Greffière :              Mme Cattin ***** Art. 221 al. 1 let. c, 221 al. 2, 222, 393 al. 1 let. c CPP Vu l' enquête n° PE13.005402-XCR instruite contre P.________ pour acte d’ordre sexuel avec des enfants et pornographie, d’office et sur plainte de W.________ , vu l'appréhension du prénommé le 26 mars 2013, vu l'ordonnance du 27 mars 2013, par laquelle le Tribunal des mesures de contrainte a ordonné la détention provisoire de l'intéressé pour une durée maximale de trois mois, soit au plus tard jusqu'au 26 juin 2013, vu le recours interjeté le 8 avril 2013 par P.________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qu'en l'espèce, P.________ est mis en cause pour avoir déclaré à W.________, lors de conversations sur [...] et [...], qu’il s’était exhibé et masturbé devant une fille de douze ans par webcams interposées (cf. PV aud. 1), qu’il aurait évoqué avoir envie «d’une de 13 ans max» et avoir «trop envie de lécher une chatte de 13 ans», qu’il aurait encore déclaré avoir rencontré une fille de onze ans à Lyon et avoir «léché sa petite chatte trop bonne» dans une cave, que le recourant aurait demandé à W.________ de lui présenter des filles de dix ou onze ans, que P.________ a admis s’être masturbé par webcams interposées en présence de jeunes filles mineures et leur avoir demandé de lui montrer leurs seins, qu’il a agi de la sorte avec dix ou douze filles mineures sur une période de cinq ans, dès 2008-2009, qu’il a également admis posséder des vidéos et images pédo-pornographiques sur son ordinateur et avoir utilisé celles-ci pour se masturber, qu’il conteste toutefois avoir entretenu directement des relations intimes avec des filles mineures, que compte tenu des éléments au dossier, il existe des présomptions suffisantes de culpabilité à l’encontre du recourant; attendu que l'ordonnance entreprise se fonde sur les risques de réitération et de passage à l’acte (art. 221 al. 1 let. c et 221 al. 2 CPP), qu'aux termes de l'art. 221 al. 1 let. c CPP, la détention provisoire peut être ordonnée lorsqu'il y a sérieusement lieu de craindre que le prévenu compromette la sécurité d'autrui par des crimes ou des délits graves après avoir déjà commis des infractions du même genre, que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op. cit.), que, bien qu'une application littérale de l'art. 221 al. 1 let. c CPP suppose l'existence d'antécédents, le risque de récidive peut être également admis dans des cas particuliers, alors qu'il n'existe qu'un antécédent, voire aucun dans les cas les plus graves (ATF 137 IV 13 c. 3-4), que la prévention du risque de récidive doit permettre de faire prévaloir l'intérêt à la sécurité publique sur la liberté personnelle du prévenu (ibid.), que l'art. 221 al. 2 CPP prévoit que la détention peut être ordonnée s'il y a sérieusement lieu de craindre qu'une personne passe à l'acte après avoir menacé de commettre un crime grave, qu'une détention ordonnée en application de ce motif a donc pour objectif d'éviter la concrétisation d'un crime, mais non d'un délit (ATF 137 IV 122), que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op. cit., n. 22 ad art. 221 CPP et les références citées, p. 1029), qu'en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p. 1029; CREP 14 mai 2012/238); attendu qu’en l’espèce, P.________ se rend sur des sites Internet, tels que [...], [...] et [...], pour «tchatter» et également se masturber via webcams interposées devant des filles mineures, qu’il agit de la sorte depuis cinq ans, qu’il dit être satisfait en se masturbant quotidiennement devant son ordinateur, dans les toilettes ou dans son appartement (PV aud. 2, p. 4), qu’il affirme cependant qu’il n’aura jamais de relations intimes avec des filles de moins de seize ans (PV d’audition d’arrestation du 26 mars 2013, p. 3), qu’enfin, il indique avoir essayé d’arrêter, mais cela n’aurait pas fonctionné, car il ne peut s’empêcher d’allumer son ordinateur quand il rentre chez lui (PV aud. 2, p. 3), qu’il serait néanmoins prêt à suivre une thérapie si la justice l’estimait nécessaire (PV aud. TMC, p. 2), qu’en l’occurrence, le recourant semble ne pas avoir conscience de la gravité de ses actes, qu’en cas de remise en liberté, il pourrait facilement accéder à un réseau Internet que soit par le biais d’un ordinateur ou d’un téléphone portable, qu’il est aussi à craindre qu'il ne cède à ses pulsions et ne cherche à assouvir ses fantasmes, malgré son absence d’antécédents judiciaires, qu'il faut ainsi rappeler qu'en cas d'infractions contre l'intégrité sexuelle, la jurisprudence fédérale se montre moins stricte dans l'établissement de la vraisemblance du risque de récidive, car le risque à faire courir aux victimes potentielles est alors considéré comme trop important (ATF 123 I 268 c. 2e), qu'il convient en conséquence de faire prévaloir la sécurité publique, vu le bien juridique menacé, sur la liberté personnelle du recourant, que les conditions de la mise en détention sont donc réalisées pour les risques de réitération et de passage à l'acte; attendu que P.________ demande à ce que des mesures de substitution soient ordonnées,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le tribunal doit les prononcer à la place de la détention provisoire ou pour des motifs de sûreté si elles permettent d'empêcher la concrétisation du risque (ibid.),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p. 1100), qu'en l'espèce, les conditions de la détention provisoire sont réalisées, que les mesures de substitution proposées par le recourant, soit l’interdiction de détenir à titre privé tout appareil et installation fixe ou mobile permettant d’accéder au réseau Internet, ne sont pas propres à parer les risques de réitération et de passage à l'acte, qu’en effet, rien n’empêcherait le recourant d’accéder à un réseau Internet par le biais d’un ordinateur ou d’un téléphone portable dans un autre lieu que son domicile, comme par exemple sur son lieu de travail ou chez un tiers; attendu qu'au demeurant, les risques de réitération et de passage à l’acte devront faire l'objet d'une nouvelle appréciation aussitôt que l'expert psychiatre mandaté par le procureur aura livré ses premières conclusions, que les droits du recourant impliquent toutefois que les risques de récidive et de passage à l’acte puissent être évalués le plus rapidement possible sur la base de l'expertise ordonnée, que dans ces circonstances, il apparaît opportun que l'expert fournisse au Ministère public, dès qu'il sera en mesure de le faire, un avis oral portant sur ces risques sans attendre le dépôt du rapport écrit qui peut prendre un certain temps (cf. CREP 8 avril 2013/179; CREP 15 février 2013/69; CREP 3 juillet 2012/345; CREP 9 février 2012/40), qu'il s'agira ainsi, pour la direction de la procédure, de veiller à ce que l'expertise psychiatrique soit conduite promptement et que les premières conclusions lui soient communiquées oralement, que l’expertise psychiatrique permettra de déterminer, le cas échéant, si des mesures de substitution sont envisageables; attendu que le recourant est en détention depuis le 26 mars 2013, que compte tenu de la durée de la peine à laquelle il s'expose concrètement en cas de condamnation, cette détention apparaît proportionnée (TF 1B_565/2012 du 16 octobre 2012 c. 2 et 3; ATF 133 I 168 c. 4.1);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présente procédure de recours, par 660 fr. (six cent soixante francs), sont mis à la charge de P.________. IV. Déclare le présent arrêt exécutoire. Le juge présidant : La greffière : Du L'arrêt qui précède, dont la rédaction a été approuvée à huis clos, est notifié, par l'envoi d'une copie complète, à : - M. Pierre-Dominique Schupp, avocat (pour P.________), - Ministère public central, et communiqué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