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321 vom 7. April 2013</w:t>
      </w:r>
    </w:p>
    <w:p>
      <w:r>
        <w:t>VD Tribunal cantonal, 2013-04-07, FR</w:t>
      </w:r>
    </w:p>
    <w:p>
      <w:r>
        <w:rPr>
          <w:b/>
        </w:rPr>
        <w:t xml:space="preserve">Quelle: </w:t>
      </w:r>
      <w:r>
        <w:t>https://mcp.opencaselaw.ch/entscheid/vd_findinfo_D_cision___2013___321</w:t>
      </w:r>
    </w:p>
    <w:p>
      <w:r>
        <w:t>FR: VD_FINDINFO Décision / 2013 / 321 du 7 avril 2013</w:t>
      </w:r>
    </w:p>
    <w:p>
      <w:r>
        <w:t>IT: VD_FINDINFO Décision / 2013 / 321 del 7 aprile 2013</w:t>
      </w:r>
    </w:p>
    <w:p>
      <w:pPr>
        <w:pStyle w:val="Heading2"/>
      </w:pPr>
      <w:r>
        <w:t>Regeste</w:t>
      </w:r>
    </w:p>
    <w:p>
      <w:r>
        <w:t>AVOCAT D'OFFICE, DÉFENSE D'OFFICE, AVOCAT, HONORAIRES | 135 al. 3 let. a CPP (CH), 135 CPP (CH), 393 al. 1 let. c CPP (CH)</w:t>
      </w:r>
    </w:p>
    <w:p>
      <w:pPr>
        <w:pStyle w:val="Heading2"/>
      </w:pPr>
      <w:r>
        <w:t>Erwägungen</w:t>
      </w:r>
    </w:p>
    <w:p>
      <w:r>
        <w:rPr>
          <w:b/>
        </w:rPr>
        <w:t>E. 8</w:t>
      </w:r>
    </w:p>
    <w:p>
      <w:r>
        <w:t>heures, soit un tiers des opérations. Elle estime ainsi avoir accompli son travail avec toute la diligence requise par les circonstances afin de mettre rapidement un terme au conflit pénal et intrafamilial. c) En l'espèce, les arguments avancés par la recourante sont pertinents. Comme elle le souligne à juste titre, son intervention a été couronnée de succès, la plainte ayant été retirée, le prévenu libéré et une ordonnance de classement prononcée. Dans ces circonstances, force est de constater que sans cette intervention, la procédure pénale se serait prolongée et aurait eu des conséquences importantes, notamment en termes de frais de justice et de défense d'office. Aussi et compte tenu des explications fournies par la recourante, qui ne sont par ailleurs pas réfutées par le Procureur, il convient d'admettre que les 25 heures annoncées étaient nécessaires à l'accomplissement de son mandat d'office. 3. En définitive, le recours doit être admis et la décision attaquée réformée, en ce sens que l’indemnité allouée au conseil d'office d'A.U.________ est arrêtée à 5'056 fr. 55, TVA et débours compris. Le conseil d'office qui recourt en son nom a droit à des honoraires (Ruckstuhl, in Niggli/Heer/Wiprächtiger (éd.), Basler Kommentar, Schweizerische Strafprozessordnung, Jugendstrafprozessordnung, Bâle 2011, n. 16 et 18 ad art. 135 CPP, p. 913; Pra 2008, n. 46; CREP, 9 novembre 2011/477). L'indemnité qu'il convient d'allouer à ce titre à Me N.________ est fixée à 330 fr., plus la TVA, par 26 fr. 40, soit 356 fr. 40. Les frais de la procédure de recours, constitués de l'émolument d'arrêt (art. 422 al. 1 CPP), par 630 fr. (art. 20 al. 1 TFJP [tarif des frais judiciaires pénaux du 28 septembre 2010; RSV 312.03.1]), ainsi que l'indemnité allouée à Me N.________, par 356 fr. 40, sont laissés à la charge de l'Etat (art. 428 al. 1 CPP). Par ces motifs, le Juge de la Chambre des recours pénale, statuant à huis clos, prononce : I. Le recours est admis. II. La décision du 8 mars 2013 est réformée en ce sens que l'indemnité versée à Me N.________ pour son activité de conseil d'office d'A.U.________ est fixée à 5'056 fr. 55 (cinq mille cinquante-six francs et cinquante-cinq centimes), débours et TVA compris. III. L'indemnité allouée à Me N.________ pour la procédure de recours est fixée à 356 fr. 40 (trois cent cinquante-six francs et quarante centimes). IV. Les frais d'arrêt, par 630 fr. (six cent trente francs), ainsi que l'indemnité allouée à Me N.________ pour la procédure de recours, par 356 fr. 40 (trois cent cinquante-six francs et quarante centimes), sont laissés à la charge de l'Etat. V. Le présent arrêt est exécutoire. Le juge :               La greffière : Du L'arrêt qui précède, dont la rédaction a été approuvée à huis clos, est notifié, par l'envoi d'une copie complète, à : - Me N.________, avocate,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