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306 vom 8. Januar 2013</w:t>
      </w:r>
    </w:p>
    <w:p>
      <w:r>
        <w:t>VD Tribunal cantonal, 2013-01-08, FR</w:t>
      </w:r>
    </w:p>
    <w:p>
      <w:r>
        <w:rPr>
          <w:b/>
        </w:rPr>
        <w:t xml:space="preserve">Quelle: </w:t>
      </w:r>
      <w:r>
        <w:t>https://mcp.opencaselaw.ch/entscheid/vd_findinfo_D_cision___2013___306</w:t>
      </w:r>
    </w:p>
    <w:p>
      <w:r>
        <w:t>FR: VD_FINDINFO Décision / 2013 / 306 du 8 janvier 2013</w:t>
      </w:r>
    </w:p>
    <w:p>
      <w:r>
        <w:t>IT: VD_FINDINFO Décision / 2013 / 306 del 8 gennaio 2013</w:t>
      </w:r>
    </w:p>
    <w:p>
      <w:pPr>
        <w:pStyle w:val="Heading2"/>
      </w:pPr>
      <w:r>
        <w:t>Regeste</w:t>
      </w:r>
    </w:p>
    <w:p>
      <w:r>
        <w:t>DÉCISION D'IRRECEVABILITÉ, QUALITÉ POUR RECOURIR, DÉCISION SUR FRAIS | 127 CPP (CH), 395 let. a CPP (CH)</w:t>
      </w:r>
    </w:p>
    <w:p>
      <w:pPr>
        <w:pStyle w:val="Heading2"/>
      </w:pPr>
      <w:r>
        <w:t>Erwägungen</w:t>
      </w:r>
    </w:p>
    <w:p>
      <w:r>
        <w:rPr>
          <w:b/>
        </w:rPr>
        <w:t>E. 1</w:t>
      </w:r>
    </w:p>
    <w:p>
      <w:r>
        <w:t>L'art. 395 let. a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sur les conséquences économiques accessoires d'une décision et que le montant litigieux n'excède pas 5'000 francs. Dans ces cas, un juge de la Chambre des recours pénale est compétent pour statuer en tant que juge unique (art. 13 al. 2 LVCPP [Loi d’introduction du code de procédure pénale suisse; RSV 312.01]). Tel est le cas en l'espèce, dès lors que la procédure porte exclusivement sur les effets accessoires de l'ordonnance de classement du 8 janvier 2013, à savoir la mise à la charge de la prévenue des frais par 450 francs. Le recours relève donc de la compétence d'un juge unique de la Chambre des recours pénale.</w:t>
      </w:r>
    </w:p>
    <w:p>
      <w:r>
        <w:rPr>
          <w:b/>
        </w:rPr>
        <w:t>E. 2</w:t>
      </w:r>
    </w:p>
    <w:p>
      <w:r>
        <w:t>a) Aux termes de l'art. 127 al. 5 CPP, la défense des prévenus est réservée aux avocats qui, en vertu de la loi du 23 juin 2000 sur les avocats (LLCA; RS 935.61), sont habilités à représenter les parties devant les tribunaux. b)              En l'espèce, le recours a été déposé par A.X.________, soit le mari de la prévenue. Or, celui-ci ne bénéficie pas du titre d'avocat. Il n'a donc pas la qualité pour recourir au nom de sa femme.</w:t>
      </w:r>
    </w:p>
    <w:p>
      <w:r>
        <w:rPr>
          <w:b/>
        </w:rPr>
        <w:t>E. 3</w:t>
      </w:r>
    </w:p>
    <w:p>
      <w:r>
        <w:t>Il résulte de ce qui précède que le recours doit être déclaré irrecevable, sans autres échanges d’écritures (art. 390 al. 2 CPP). Les frais de la procédure de recours, constitués en l’espèce du seul émolument d'arrêt, par 270 fr. (art. 20 al. 1 TFJP [tarif des frais judiciaires pénaux ; RSV 312.03.1]), seront exceptionnellement laissés à la charge de l'Etat (art. 425, 2 e phrase CPP). Par ces motifs, la Juge de la Chambre des recours pénale, statuant à huis clos, prononce : I. Le recours est irrecevable. II. La décision du 31 janvier 2013 est maintenue. III. Les frais de la procédure de recours, par 270 fr. (deux cent septante francs), sont laissés à la charge de l'Etat. IV. L'arrêt est exécutoire. La juge :               La greffière : Du L'arrêt qui précède, dont la rédaction a été approuvée à huis clos, est notifié, par l'envoi d'une copie complète, à : - M. A.X.________, - Ministère public central, et communiqué à : ‑ M. le Procureure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