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301 vom 8. Januar 2013</w:t>
      </w:r>
    </w:p>
    <w:p>
      <w:r>
        <w:t>VD Tribunal cantonal, 2013-01-08, FR</w:t>
      </w:r>
    </w:p>
    <w:p>
      <w:r>
        <w:rPr>
          <w:b/>
        </w:rPr>
        <w:t xml:space="preserve">Quelle: </w:t>
      </w:r>
      <w:r>
        <w:t>https://mcp.opencaselaw.ch/entscheid/vd_findinfo_D_cision___2013___301</w:t>
      </w:r>
    </w:p>
    <w:p>
      <w:r>
        <w:t>FR: VD_FINDINFO Décision / 2013 / 301 du 8 janvier 2013</w:t>
      </w:r>
    </w:p>
    <w:p>
      <w:r>
        <w:t>IT: VD_FINDINFO Décision / 2013 / 301 del 8 gennaio 2013</w:t>
      </w:r>
    </w:p>
    <w:p>
      <w:pPr>
        <w:pStyle w:val="Heading2"/>
      </w:pPr>
      <w:r>
        <w:t>Regeste</w:t>
      </w:r>
    </w:p>
    <w:p>
      <w:r>
        <w:t>DÉCISION D'IRRECEVABILITÉ | 319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En l'espèce, par pli du 25 janvier 2013, F.________ a déclaré faire opposition à l’ordonnance de classement rendue le 8 janvier 2013 et, ensuite de l’avis du 4 février 2013 du vice-président de la Chambre des recours pénale, elle a, par l’intermédiaire de son assurance, confirmé sa volonté de recourir. Il y a donc lieu d’entrer en matière sur le recours.</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force est de constater que l’instruction n’a pas permis de réunir d’éléments établissant l’existence de soupçons suffisants pouvant justifier une mise en accusation à l’encontre de B.________. En effet, la visite de police effectuée le 2 novembre 2012 chez B.________ n’a pas amené à la découverte des objets mentionnés dans la plainte pénale du 8 octobre 2012. De plus, les déclarations de B.________ semblent crédibles, dans la mesure où il affirme avoir logé chez la plaignante à partir du 1 er août 2012, ce que confirme le consentement écrit du 29 juin 2012, signé par les deux intéressés (P. 7/1). Au contraire, les affirmations de F.________ prêtent à confusion, puisqu’elle indique avoir hébergé le prévenu depuis le 1 er juillet 2012, alors qu’elle aurait séjourné au Centre psychiatrique du Nord vaudois durant cette période en raison de sa bipolarité. Enfin, il apparaît qu’elle aurait déjà porté plainte pour le vol de deux cycles qui se sont révélés être identiques. c) En définitive, le fait que B.________ aurait logé chez la plaignante un mois de plus étant sans pertinence pour ce qui est de l’identification de l’auteur des vols dénoncés par l’intéressée, aucune mesure d'instruction n'apparaît susceptible de mener à une autre appréciation. La décision du Ministère public de l’arrondissement du Nord vaudois de classer la procédure échappe donc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d’arrêt, par 550 fr. (cinq cent cinquante francs), sont mis à la charge de F.________. IV. Le présent arrêt est exécutoire. Le vice-président : La greffière : Du L'arrêt qui précède, dont la rédaction a été approuvée à huis clos, est notifié, par l'envoi d'une copie complète, à : - Mme F.________, - M. B.________, - Ministère public central, et communiqué à : ‑ M. le Procureur de l’arrondissement du Nord vaudois, - Mme Z.________, curatrice de F.________,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