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293 vom 17. Dezember 2012</w:t>
      </w:r>
    </w:p>
    <w:p>
      <w:r>
        <w:t>VD Tribunal cantonal, 2012-12-17, FR</w:t>
      </w:r>
    </w:p>
    <w:p>
      <w:r>
        <w:rPr>
          <w:b/>
        </w:rPr>
        <w:t xml:space="preserve">Quelle: </w:t>
      </w:r>
      <w:r>
        <w:t>https://mcp.opencaselaw.ch/entscheid/vd_findinfo_D_cision___2013___293</w:t>
      </w:r>
    </w:p>
    <w:p>
      <w:r>
        <w:t>FR: VD_FINDINFO Décision / 2013 / 293 du 17 décembre 2012</w:t>
      </w:r>
    </w:p>
    <w:p>
      <w:r>
        <w:t>IT: VD_FINDINFO Décision / 2013 / 293 del 17 dicembre 2012</w:t>
      </w:r>
    </w:p>
    <w:p>
      <w:pPr>
        <w:pStyle w:val="Heading2"/>
      </w:pPr>
      <w:r>
        <w:t>Regeste</w:t>
      </w:r>
    </w:p>
    <w:p>
      <w:r>
        <w:t>MENACE{DROIT PÉNAL}, USAGE ABUSIF, ALARME | 179septies CP, 180 CP, 310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a) L'art. 310 al. 1 let. a CPP prévoit que le ministère public rend immédiatement une ordonnance de non-entrée en matière notamment s’il ressort de la dénonciation (cf. art. 301 s. CPP) ou de la plainte (Cornu, in: Kuhn/Jeanneret (éd.), Commentaire romand, Code de procédure pénale suisse, Bâle 2011, n. 1 ad art. 310 CPP) ou après une procédure préliminaire limitée aux investigations de la police (art. 300 al. 1 et 306 s. CPP) que les éléments constitutifs de l’infraction ou les conditions à l’ouverture de l’action pénale ne sont manifestement pas réunis. Il suffit que l’un des éléments constitutifs ne soit manifestement pas réalisé (Cornu, op. cit., n. 8 ad art. 310 CPP, p. 1411). En d'autres termes, il faut que le comportement dénoncé apparaisse d’emblée comme non punissable (Cornu, op. cit., n. 10 ad art. 310 CPP). b) L'art. 180 al. 1 CP (Code pénal suisse du 21 décembre 1937; RS 311.0)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et TF 6B_435/2011 du 6 octobre 2011 c.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 1a). Subjectivement, l'auteur doit avoir l'intention non seulement de proférer des menaces graves, mais aussi d'alarmer ou d'effrayer le destinataire. Le dol éventuel suffit. c) En l'espèce, la seule phrase susceptible de constituer une menace est la suivante: "Mais ne croise pas ma route… Car R.________ en a fait les frais. Et sache que cela netait (sic) qune (sic) carresse (sic) a cote (sic) de ce que tu auras". Toutefois, comme on l'a vu, pour que la menace soit répréhensible pénalement, encore faudrait-il qu'elle ait sérieusement alarmé ou effrayé X.________. Or, tel n'est manifestement pas le cas. En effet, il apparaît à la lecture du dossier que la recourante n'a jamais été réellement effrayée par les propos de Y.________. Ainsi, lorsque la menace a été proférée, la recourante a notamment répliqué: "Ah attend tu auras certainement l'occasion le 6 octobre", ce qui semble indiquer qu'elle ne comptait pas se soustraire à une éventuelle prochaine rencontre. Dans sa plainte, elle soutient avoir été menacée, mais elle n'indique pas avoir été alarmée; au contraire, il ressort de ses déclarations à la police que son objectif principal, en déposant plainte, était "que [Y.________] comprenne qu'[elle] en a[vait] assez de [s]e faire passer pour la méchante". Toujours devant la police, la recourante a par ailleurs ajouté ce qui suit : "[Y.________] doit savoir que si elle, elle discute, moi j'agis" (P. 6, p. 3, R. 3), ce qui tend à démontrer qu'elle ne s'attendait pas à ce que la prénommée passe à l'acte, étant précisé à cet égard qu'au moment du dépôt de plainte, la recourante suspectait déjà l'épouse trompée de s'en être prise à une autre amante de son mari (ibidem). Enfin, la recourante a déclaré dans son recours qu'elle n'avait initialement aucunement l'intention de porter plainte, mais que son entourage et la police l'en avait finalement convaincue (P. 11). Au vu de l'ensemble de ces éléments, il apparaît que les échanges de messages entre les deux protagonistes s'inscrivent dans un contexte de règlement de compte entre deux femmes jalouses et que la phrase incriminée relève d'avantage d'une montée en symétrie entre les deux protagonistes que d'une véritable menace au sens pénal du terme. D'ailleurs, le comportement de X.________ pendant et après les faits ne permet pas de retenir que celle-ci a été réellement effrayée ou alarmée par les propos tenus par Y.________. C'est donc à bon droit que le Procureur a retenu que l'un des éléments constitutifs de l'infraction n'était manifestement pas réalisé et qu'il a refusé d'entrer en matière sur ce grief. d) L'art. 179 septies CP réprime le comportement de celui qui, par méchanceté ou par espièglerie, aura abusé d'une installation de télécommunication pour inquiéter un tiers ou l'importuner. Cette disposition protège le droit personnel de la victime à ne pas être importunée par certains actes commis au moyen d'une installation de télécommunication. La notion d'abus est laissée à l'appréciation du juge (TF 6S.559/2000 du 29 décembre 2000 c. 5a). Selon la doctrine,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 septies CP, p. 678). A cet égard, les cas flagrants d'utilisation abusive sont les appels de nuit pour perturber le sommeil, les appels répétés (harcèlement) ou encore les appels sans aucun message (Corboz, op. cit., n. 6 ad art. 179 septies CP, p. 678).  Enfin, on admet qu'il y a méchanceté lorsque l'auteur commet l'acte répréhensible parce que le dommage ou les désagréments qu'il cause à autrui lui procurent de la satisfaction, et qu'il y a espièglerie si l'auteur agit un peu follement, par bravade ou sans scrupule, dans le but de satisfaire un caprice momentané (ATF 121 IV 131 c. 5b). L'art. 179 septies CP s'applique par analogie aux courriels et télécopies chicaniers (Niggli/Wiprächtiger (éd.), Strafrecht II, Basler Kommentar, Bâle 2007, n. 7 ad art. 179 septies CP, p. 960). e) En l'espèce, les éléments de la plainte ne permettent pas d'établir en quoi le comportement de Y.________ répondrait à la notion d'abus prévue à l'art. 179 septies CP. En particulier, il ressort des pièces au dossier que la prénommé s'est contentée de répondre à la recourante qui a régulièrement réengagé la conversation avec elle. Les messages de Y.________ ne sauraient dès lors être qualifiés d'abusifs en ce sens qu'ils n'étaient pas destinés à importuner la recourante, mais simplement à lui répondre. L'un au moins des éléments constitutif de l'infraction n'étant manifestement pas réalisé, c'est également à juste titre que le Procureur a refusé d'entrer en matière s'agissant de l'infraction d'utilisation abusive d'une installation de télécommunication. f) Au regard de la plainte et des pièces du dossier, l'ordonnance de non-entrée en matière du 30 octobre 2012 échappe donc à la critique et sera confirmée.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de la recourante, qui succombe (art. 428 al. 1 CPP). Par ces motifs, la Chambre des recours pénale, statuant à huis clos, prononce : I. Le recours est rejeté. II. L'ordonnance du 30 octobre 2012 est confirmée. III. Les frais d'arrêt, par 880 fr. (huit cent huitante francs), sont mis à la charge de X.________. IV. L'arrêt est exécutoire. La vice-présidente : La greffière : Du L'arrêt qui précède,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