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288 vom 27. März 2013</w:t>
      </w:r>
    </w:p>
    <w:p>
      <w:r>
        <w:t>VD Tribunal cantonal, 2013-03-27, FR</w:t>
      </w:r>
    </w:p>
    <w:p>
      <w:r>
        <w:rPr>
          <w:b/>
        </w:rPr>
        <w:t xml:space="preserve">Quelle: </w:t>
      </w:r>
      <w:r>
        <w:t>https://mcp.opencaselaw.ch/entscheid/vd_findinfo_D_cision___2013___288</w:t>
      </w:r>
    </w:p>
    <w:p>
      <w:r>
        <w:t>FR: VD_FINDINFO Décision / 2013 / 288 du 27 mars 2013</w:t>
      </w:r>
    </w:p>
    <w:p>
      <w:r>
        <w:t>IT: VD_FINDINFO Décision / 2013 / 288 del 27 marzo 2013</w:t>
      </w:r>
    </w:p>
    <w:p>
      <w:pPr>
        <w:pStyle w:val="Heading2"/>
      </w:pPr>
      <w:r>
        <w:t>Regeste</w:t>
      </w:r>
    </w:p>
    <w:p>
      <w:r>
        <w:t>LOI FÉDÉRALE SUR LA CIRCULATION ROUTIÈRE, SÉQUESTRE{MESURE PROVISIONNELLE} | 90 LCR, 197 al.1 CPP (CH), 263 al. 1 let. d CPP (CH)</w:t>
      </w:r>
    </w:p>
    <w:p>
      <w:pPr>
        <w:pStyle w:val="Heading2"/>
      </w:pPr>
      <w:r>
        <w:t>Erwägungen</w:t>
      </w:r>
    </w:p>
    <w:p>
      <w:r>
        <w:rPr>
          <w:b/>
        </w:rPr>
        <w:t>E. 1</w:t>
      </w:r>
    </w:p>
    <w:p>
      <w:r>
        <w:t>CPP) et dans les formes prescrites (art. 385 al. 1 CPP), le recours est recevable.</w:t>
      </w:r>
    </w:p>
    <w:p>
      <w:r>
        <w:rPr>
          <w:b/>
        </w:rPr>
        <w:t>E. 2</w:t>
      </w:r>
    </w:p>
    <w:p>
      <w:r>
        <w:t>a) En vertu de l'art. 263 al. 1 let. d CPP, des objets et des valeurs patrimoniales appartenant au prévenu ou à des tiers peuvent être mis sous séquestre, lorsqu'il est probable qu'ils devront être confisqués.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Kuhn/Jeanneret (éd.), Commentaire romand, Code de procédure pénale suisse, Bâle 2011, n. 17 ad art. 263 CPP). b) L’art. 90 al. 3 LCR (loi fédérale sur la circulation routière du 19 décembre 1958; RS 741.01) stipule que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et d’au moins 80 km/h, là où la limite était fixée à plus de 80 km/h (let. d ). c) En vertu de l’art. 90a LCR, entré en vigueur le 1 er janvier 2013, le tribunal peut ordonner la confiscation d’un véhicule automobile lorsque les règles de la circulation ont été violées gravement et sans scrupules (let. a) et que cette mesure peut empêcher l’auteur de commettre d’autres violations graves des règles de la circulation (let. b). La confiscation d’un véhicule automobile représente une atteinte à la garantie de la propriété protégée par l’art. 26 Cst. (Constitution fédérale du 18 avril 1999; RS 101). Une atteinte de ce type doit notamment respecter le principe de la proportionnalité: la confiscation du véhicule automobile n’est proportionnée et justifiée que dans des cas exceptionnels. Les circonstances du cas concret sont à cet égard déterminantes. Selon le Message du Conseil fédéral, la possibilité pour les tribunaux d’ordonner la confiscation d’un véhicule automobile selon l’art. 90a LCR tient compte des principes constitutionnels, et toute violation grave des règles de la circulation ne doit pas entraîner automatiquement la confiscation du véhicule utilisé (Message du Conseil fédéral concernant Via sicura, le programme d’action de la Confédération visant à renforcer la sécurité routière, du 20 octobre 2010, FF 2010 pp. 7703 ss, spéc. 7740). La confiscation a pour condition le fait que les infractions graves aux règles de la circulation, au sens de l’art. 90 al. 2 LCR, soient empreintes d’un comportement dénué de scrupules. Un tel comportement se traduit par un mode de conduite particulièrement dépourvu d’égards et de retenue, par exemple un excès de vitesse particulièrement grave compte tenu des conditions concrètes ou une perturbation du trafic par des freinages intempestifs à vitesse élevée. De tels comportements correspondent généralement à des délits de mise en danger de la vie d’autrui (art. 129 CP) (Message op. cit., FF 2010 pp. 7703 ss, spéc. 7769). On ne recourra à la possibilité de confisquer le véhicule que si cette mesure est nécessaire pour empêcher l’auteur de l’infraction de commettre à nouveau des infractions graves aux règles de la circulation (ibid.).</w:t>
      </w:r>
    </w:p>
    <w:p>
      <w:r>
        <w:rPr>
          <w:b/>
        </w:rPr>
        <w:t>E. 3</w:t>
      </w:r>
    </w:p>
    <w:p>
      <w:r>
        <w:t>En l’espèce, le recourant a été enregistré à deux reprises les 27 et 28 février 2013 à 108 km/h, respectivement à 100 km/h, sur un tronçon limité à 50 km/h. Il apparaît ainsi avoir violé de manière grave les règles de la circulation. Cela étant, il n’apparaît pas à ce stade, au regard des circonstances du cas concret, que le recourant puisse se voir reprocher un comportement totalement dénué de scrupules (art. 90a let. a in fine LCR) ni que la confiscation du motocycle Suzuki 650 soit une mesure absolument nécessaire pour pallier tout risque de récidive. En effet, les casiers judiciaires suisse et français de P.________, ressortissant français, sont vierges. Il n’a ainsi aucun antécédent en matière d’infraction à la LCR et ne peut donc être considéré comme un délinquant routier chronique (cf. ATF 137 IV 249). Par ailleurs, le prononcé de l’interdiction de conduire sur le territoire suisse apparaît propre et suffisant, dans le cas d’espèce, à prévenir la commission de nouvelles infractions graves aux règles de la circulation. Le séquestre ordonné le 1 er mars 2013 est donc disproportionné au regard des art. 197 al. 1 let. c et d CPP et 90a LCR. Partant, le séquestre frappant le motocycle Suzuki 650, immatriculé en France [...], doit être levé et le motocycle précité restitué au recourant.</w:t>
      </w:r>
    </w:p>
    <w:p>
      <w:r>
        <w:rPr>
          <w:b/>
        </w:rPr>
        <w:t>E. 4</w:t>
      </w:r>
    </w:p>
    <w:p>
      <w:r>
        <w:t>En définitive, le recours doit être admis et l’ordonnance attaquée annulée. Les frais d'arrêt, par 660 fr. (art. 20 al. 1 TFJP [tarif des frais judiciaires pénaux du 28 septembre 2010; RSV 312.03.1]) et des frais imputables à la défense d’office (art. 422 al. 1 et 2 let. a CPP), fixés à 540 fr., plus la TVA par 43 fr. 20, soit un total de 583 fr. 20, seront laissés à la charge de l’Etat (art. 428 al. 1 CPP). Par ces motifs, la Chambre des recours pénale, statuant à huis clos, prononce : I. Le recours est admis. II. L’ordonnance de séquestre du 1 er mars 2013 est annulée. III. Le séquestre frappant le motocycle Suzuki 650, immatriculé en France [...], est levé et la restitution dudit motocycle à P.________ est ordonnée. IV. L'indemnité due au défenseur d'office de P.________ est fixée à 583 fr. 20 (cinq cent huitante-trois francs et vingt centimes). V. Les frais d’arrêt, par 660 fr. (six cent soixante francs), ainsi que l'indemnité due au défenseur d'office de P.________, par 583 fr. 20 (cinq cent huitante-trois francs et vingt centimes), sont laissés à la charge de l’Etat. VI. Le présent arrêt est exécutoire. Le vice-président : La greffière : Du L'arrêt qui précède, dont la rédaction a été approuvée à huis clos, est notifié, par l'envoi d'une copie complète, à : - Mme Mireille Loroch, avocate (pour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