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285 vom 22. März 2013</w:t>
      </w:r>
    </w:p>
    <w:p>
      <w:r>
        <w:t>VD Tribunal cantonal, 2013-03-22, FR</w:t>
      </w:r>
    </w:p>
    <w:p>
      <w:r>
        <w:rPr>
          <w:b/>
        </w:rPr>
        <w:t xml:space="preserve">Quelle: </w:t>
      </w:r>
      <w:r>
        <w:t>https://mcp.opencaselaw.ch/entscheid/vd_findinfo_D_cision___2013___285</w:t>
      </w:r>
    </w:p>
    <w:p>
      <w:r>
        <w:t>FR: VD_FINDINFO Décision / 2013 / 285 du 22 mars 2013</w:t>
      </w:r>
    </w:p>
    <w:p>
      <w:r>
        <w:t>IT: VD_FINDINFO Décision / 2013 / 285 del 22 marzo 2013</w:t>
      </w:r>
    </w:p>
    <w:p>
      <w:pPr>
        <w:pStyle w:val="Heading2"/>
      </w:pPr>
      <w:r>
        <w:t>Regeste</w:t>
      </w:r>
    </w:p>
    <w:p>
      <w:r>
        <w:t>RADIATION DU RÔLE | 393 CPP (CH)</w:t>
      </w:r>
    </w:p>
    <w:p>
      <w:pPr>
        <w:pStyle w:val="Heading2"/>
      </w:pPr>
      <w:r>
        <w:t>Volltext</w:t>
      </w:r>
    </w:p>
    <w:p>
      <w:r>
        <w:t>Vaud Tribunal cantonal Cour des assurances sociales 22.03.2013 Décision / 2013 / 285</w:t>
      </w:r>
    </w:p>
    <w:p>
      <w:r>
        <w:t>RADIATION DU RÔLE | 393 CPP (CH)</w:t>
      </w:r>
    </w:p>
    <w:p>
      <w:r>
        <w:t>TRIBUNAL CANTONAL 164 PE10.004317-NCT CHAMBRE DES RECOURS PENALE __________________________________________ Séance du 22 mars 2013 __________________ Présidence de               M. Abrecht , vice-président Juges :              MM. Creux et Meylan Greffier :              M. Addor ***** Art. 393 ss CPP Vu l' enquête n° PE10.004317-NCT instruite par le Ministère public central, Division entraide, criminalité économique et informatique, contre W.________ pour gestion fautive et obligation de tenir une comptabilité, d'office et sur plainte de [...] vu l'acte du 18 février 2013 adressé au Tribunal d'arrondissement de Lausanne, par lequel W.________ a déposé un « recours » contre l'utilisation, par le Ministère public, « d'actes fournis par la FINMA », vu l'avis du 28 février 2013, par lequel le vice-président de la Chambre des recours pénale a imparti au défenseur d'office du prévenu un délai au 11 mars 2013 pour qu'il fasse savoir s'il entendait bien former recours et, le cas échéant, contre quelle décision, tout en portant à sa connaissance les exigences de motivation prévues à l'art. 385 al. 1 CPP, vu l'avis accordant au conseil du prévenu une ultime prolongation de délai au 21 mars 2013, vu la lettre déposée par le défenseur d'office de W.________ le 21 mars 2013, vu les pièces du dossier; attendu que, par lettre du 21 mars 2013, W.________ a indiqué que, malgré son intitulé, l'acte daté du 18 février 2013 ne constituait en réalité pas un recours, mais une requête qui aurait dû être adressée au procureur, qu'il convient d'en prendre acte et de rayer la cause du rôle, que les frais de la procédure de recours, constitués de l'émolument d'arrêt, par 220 fr. (art. 20 al. 1 TFJP [tarif des frais judiciaires pénaux; RSV 312.03.1]), ainsi que des frais imputables à la défense d'office, fixés à 180 fr., plus la TVA, par 14 fr. 40, soit 194 fr. 40, sont laissés à la charge de l'Etat (art. 425 CPP; CREP du 20 février 2013/115; CREP du 10 janvier 2012/19). Par ces motifs, la Chambre des recours pénale, statuant à huis clos : I. Prend acte du fait que l'acte du 18 février 2013 n'est pas un recours. II. Raye la cause du rôle. III. Fixe à 194 fr. 40 (cent nonante-quatre francs et quarante centimes) l'indemnité allouée au défenseur d'office de W.________. IV. Dit que les frais d'arrêt, par 220 fr. (deux cent vingt francs), ainsi que l'indemnité due au défenseur d'office de W.________, par 194 fr. 40 (cent nonante-quatre francs et quarante centimes), sont laissés à la charge de l'Etat. V. Déclare le présent arrêt exécutoire. Le vice-président : Le greffier : Du L'arrêt qui précède, dont la rédaction a été approuvée à huis clos, est notifié, par l'envoi d'une copie complète, à : - M. Eric Muster, avocat (pour W.________),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