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272 vom 24. Januar 2013</w:t>
      </w:r>
    </w:p>
    <w:p>
      <w:r>
        <w:t>VD Tribunal cantonal, 2013-01-24, FR</w:t>
      </w:r>
    </w:p>
    <w:p>
      <w:r>
        <w:rPr>
          <w:b/>
        </w:rPr>
        <w:t xml:space="preserve">Quelle: </w:t>
      </w:r>
      <w:r>
        <w:t>https://mcp.opencaselaw.ch/entscheid/vd_findinfo_D_cision___2013___272</w:t>
      </w:r>
    </w:p>
    <w:p>
      <w:r>
        <w:t>FR: VD_FINDINFO Décision / 2013 / 272 du 24 janvier 2013</w:t>
      </w:r>
    </w:p>
    <w:p>
      <w:r>
        <w:t>IT: VD_FINDINFO Décision / 2013 / 272 del 24 gennaio 2013</w:t>
      </w:r>
    </w:p>
    <w:p>
      <w:pPr>
        <w:pStyle w:val="Heading2"/>
      </w:pPr>
      <w:r>
        <w:t>Regeste</w:t>
      </w:r>
    </w:p>
    <w:p>
      <w:r>
        <w:t>DÉCISION D'IRRECEVABILITÉ | 310 CPP (CH), 385 CPP (CH), 393 al. 1 let. a CPP (CH)</w:t>
      </w:r>
    </w:p>
    <w:p>
      <w:pPr>
        <w:pStyle w:val="Heading2"/>
      </w:pPr>
      <w:r>
        <w:t>Volltext</w:t>
      </w:r>
    </w:p>
    <w:p>
      <w:r>
        <w:t>Vaud Tribunal cantonal Chambre des recours pénale 11.03.2013 Décision / 2013 / 272</w:t>
      </w:r>
    </w:p>
    <w:p>
      <w:r>
        <w:t>DÉCISION D'IRRECEVABILITÉ | 310 CPP (CH), 385 CPP (CH), 393 al. 1 let. a CPP (CH)</w:t>
      </w:r>
    </w:p>
    <w:p>
      <w:r>
        <w:t>TRIBUNAL CANTONAL 165 PE13.000237-DTE CHAMBRE DES RECOURS PENALE __________________________________________ Séance du 11 mars 2013 __________________ Présidence de               M. Abrecht , vice-président Juges :              M. Creux  et Mme Dessaux Greffière :              Mme Cattin ***** Art. 310, 385, 393 al. 1 let. a CPP Vu la plainte déposée le 19 octobre 2012 par Q.________ contre le Tribunal d’arrondissement de la Broye et du Nord vaudois pour « contrainte, chantage, grave erreur de justice de ce pays depuis plus de 20 ans… », vu le courrier du 10 janvier 2013 du Ministère public impartissant au prénommé un délai de dix jours pour signer et corriger son écrit du 19 octobre 2012, vu la lettre de Q.________ du 14 janvier 2013, vu l’ordonnance du 24 janvier 2013, par laquelle le Ministère public de l’arrondissement du Nord vaudois a refusé d’entrer en matière (I) et a laissé les frais à la charge de l’Etat (II) (dossier n° PE13.000237-DTE ), vu le recours interjeté le 15 février 2013 par Q.________ contre cette décision, vu l'avis du 22 février 2013 impartissant à l’intéressé un délai au 4 mars 2013 pour qu’il rende son acte de recours conforme aux exigences de l'art. 385 al. 1 CPP, vu les courriers de Q.________ des 23 et 27 février 2013, vu les pièces du dossier; attendu qu'en vertu de l'art. 396 al. 1 CPP (Code de procédure pénale suisse du 5 octobre 2007; RS 312.0),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par courrier du 15 février 2013, Q.________ a mentionné recourir « d’une façon générale dans ce dossier » et notamment contre l’ordonnance de non-entrée en matière du 24 janvier 2013, que la Cour de céans lui a imparti un délai au 4 mars 2013 pour motiver son recours afin qu'il réponde aux exigences de l'art. 385 al. 1 CPP, que, par lettre datée du 27 février 2013, le recourant a notamment indiqué qu’il ne pouvait plus travailler avec le [...] car il lui devait « beaucoup de soumissions récurrentes », qu’il a encore mentionné de « ne pas oublier le chantage du Tribunal d’arrondissement de la Broye et du Nord vaudois », que son écriture du 27 février 2013 ne satisfait pas davantage aux exigences prévues par l'art. 385 al. 1 CPP, qu'en effet, on ne décèle pas les motifs qui commanderaient une autre décision, que son recours doit être déclaré irrecevable; attendu, en définitive, que le recours est irrecevable et les frais de la procédure de recours, constitués en l'espèce du seul émolument d'arrêt (art. 422 al. 1 CPP), par 330 fr. (art. 20 al. 1 TFJP [Tarif des frais judiciaires pénaux du 28 septembre 2010; RSV 312.03.1]), sont mis à la charge du recourant, qui succombe (art. 428 al. 1 CPP). Par ces motifs, la Chambre des recours pénale, statuant à huis clos : I. Déclare le recours irrecevable. II. Dit que les frais du présent arrêt, par 330 fr. (trois cent trente francs), sont mis à la charge de Q.________. III. Déclare le présent arrêt exécutoire. Le vice-président : La greffière : Du L'arrêt qui précède, dont la rédaction a été approuvée à huis clos, est notifié, par l'envoi d'une copie complète, à : - M.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