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257 vom 18. März 2013</w:t>
      </w:r>
    </w:p>
    <w:p>
      <w:r>
        <w:t>VD Tribunal cantonal, 2013-03-18, FR</w:t>
      </w:r>
    </w:p>
    <w:p>
      <w:r>
        <w:rPr>
          <w:b/>
        </w:rPr>
        <w:t xml:space="preserve">Quelle: </w:t>
      </w:r>
      <w:r>
        <w:t>https://mcp.opencaselaw.ch/entscheid/vd_findinfo_D_cision___2013___257</w:t>
      </w:r>
    </w:p>
    <w:p>
      <w:r>
        <w:t>FR: VD_FINDINFO Décision / 2013 / 257 du 18 mars 2013</w:t>
      </w:r>
    </w:p>
    <w:p>
      <w:r>
        <w:t>IT: VD_FINDINFO Décision / 2013 / 257 del 18 marzo 2013</w:t>
      </w:r>
    </w:p>
    <w:p>
      <w:pPr>
        <w:pStyle w:val="Heading2"/>
      </w:pPr>
      <w:r>
        <w:t>Regeste</w:t>
      </w:r>
    </w:p>
    <w:p>
      <w:r>
        <w:t>CLASSEMENT DE LA PROCÉDURE, DIFFAMATION, CONTRAINTE{DROIT PÉNAL} | 319 CPP (CH), 393 al. 1 let. a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Interjeté dans le délai légal auprès de l’autorité compétente par le plaignant qui a qualité pour recourir (cf. art. 386 al. 1 CPP), le recours est recevable.</w:t>
      </w:r>
    </w:p>
    <w:p>
      <w:r>
        <w:rPr>
          <w:b/>
        </w:rPr>
        <w:t>E. 2</w:t>
      </w:r>
    </w:p>
    <w:p>
      <w:r>
        <w:t>Bien que les recourants concluent à l'annulation de l'ordonnance de classement la motivation du recours ne porte que sur l'infraction de diffamation. La Cour de céans se limitera donc à examiner ce seul grief.</w:t>
      </w:r>
    </w:p>
    <w:p>
      <w:r>
        <w:rPr>
          <w:b/>
        </w:rPr>
        <w:t>E. 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w:t>
      </w:r>
    </w:p>
    <w:p>
      <w:r>
        <w:rPr>
          <w:b/>
        </w:rPr>
        <w:t>E. 4</w:t>
      </w:r>
    </w:p>
    <w:p>
      <w:r>
        <w:t>Il résulte de ce qui précède que le classement de la procédure pénale échappe à la critique, de sorte que le recours, manifestement mal fondé, doit être rejeté sans autres échanges d’écritures (art. 390 al. 2 CPP). Les frais de la procédure de recours, par 1'100 fr. (art. 20 al. 1 TFJP [Tarif des frais judiciaires pénaux du 28 septembre 2010; RSV 312.03.1]), sont mis à la charge des recourants, qui succombent (art. 428 al. 1 CPP). Ces derniers ayant succombé, il n'y a pas lieu de leur allouer de dépens pour la procédure de recours. Par ces motifs, la Chambre des recours pénale, statuant à huis clos prononce : I. Le recours est rejeté. II. L'ordonnance du 4 décembre 2012 est confirmée. III. Les frais de la procédure de recours, par 1'100 fr. (mille cent francs), sont mis à la charge de A.T.________ et H.________, solidairement entre eux. IV. Le présent arrêt est exécutoire. Le vice-président : La greffière : Du L'arrêt qui précède, dont la rédaction a été approuvée à huis clos, est notifié, par l'envoi d'une copie complète, à : - Me Alain Brogli, avocat (pour A.T.________ et H.________), - Me Fabien Mingard, avocat (pour B.Q.________ et C.Q.________),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4.1</w:t>
      </w:r>
    </w:p>
    <w:p>
      <w:r>
        <w:t>a)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La diffamation est une infraction intentionnelle (Corboz, Les infractions en droit suisse, 3 e éd., vol. I, Berne 2010, n. 48 ss ad art. 173 CP). b)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 c)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ATF 102 IV 176 c. 1c). Il faut donc que l'accusé établisse les éléments dont il disposait à l'époque, ce qui relève du fait; sur cette base, le juge doit apprécier si ces éléments étaient suffisants pour croire à la véracité du propos, ce qui relève du droit (Corboz, op. cit., n. 76 ad art. 173 CP). Lorsque l'auteur s'est contenté d'émettre un soupçon, on peut admettre qu'il a agi de bonne foi même s'il n'était pas pleinement convaincu de l'exactitude des faits déshonorants qu'il a rapportés (ATF 102 IV 176 c. 2c; ATF 85 IV 182). Toutefois, n'importe quel soupçon ne suffit pas et il faut tenir compte des circonstances de chaque cas d'espèce, en particulier de vagues soupçons ne constituent pas des "raisons sérieuses" de tenir de bonne foi pour vrais des faits déshonorants (ibidem).</w:t>
      </w:r>
    </w:p>
    <w:p>
      <w:r>
        <w:rPr>
          <w:b/>
        </w:rPr>
        <w:t>E. 4.2</w:t>
      </w:r>
    </w:p>
    <w:p>
      <w:r>
        <w:t>En l'espèce, B.Q.________ a admis avoir conféré des actes commis sur son fils à compter d'octobre 2010 et en cours de procédure après que H.________ a été entendu par le police. B.Q.________ a agi de bonne foi. En effet, H.________ lui avait avoué en été 2008 avoir eu un comportement déplacé avec son fils A.Q.________. Elle avait ainsi de bonnes raisons de croire les déclarations de son fils, elles-mêmes confirmées par l'auteur des faits. Ensuite, A.T.________ a confirmé à B.Q.________ les faits après s'être entretenue avec H.________. Enfin, ces allégations étaient conformes à la vérité dans la mesure où H.________ a été condamné par le Tribunal des mineurs pour actes d'ordre sexuel sur des enfants. S'agissant des divulgations impliquant B.T.________, A.T.________ a expliqué à la prévenue lorsqu'elle était venue lui rendre visite en été 2008 que H.________ avait agi de la même manière avec sa fille B.T.________. Ainsi, lorsque le comportement de B.T.________ s'est modifié et qu'elle accusait A.Q.________ "d'obsédé sexuel", B.Q.________ était légitimée à penser que ces agissements pouvaient trouver leur fondement dans les abus dont B.T.________ aurait été victime en 2008. En outre, lors de son interrogatoire par la police, H.________ a reconnu avoir fait "exactement la même chose" avec B.T.________ (P. 8/2/2, p. 4). Ce n'est qu'à l'audience de jugement devant le Tribunal des mineurs que H.________ s'est rétracté sur les faits concernant B.T.________ qui ont par ailleurs fait l'objet d'une procédure distincte et qui a abouti à un classement. Pour ces faits également, B.Q.________ a agi de bonne foi. Enfin, au sujet des allégations concernant L.________, A.T.________ en a directement fait mention à B.Q.________. Cette dernière pouvait donc de bonne foi les tenir pour vraies. En outre, il apparaît qu'une des voisines entendue en qualité de témoin avait déjà été informée en 2008 par A.T.________ elle-même, des problèmes de nature sexuelle qui s'étaient produits entre H.________ et L.________ (PV aud. 7). Quant bien même B.Q.________ s'est entretenue avec d'autres voisines au sujet des abus dont son fils avait été victime, celle-ci n'a pas agi avec l'intention de porter atteinte au plaignant et à sa famille. En effet, les voisines entendues ont confirmé que B.Q.________ ne leur en a pas parlé dans le but de nuire à H.________ ou à sa famille. Elle n'a fait preuve par ailleurs d'aucune animosité à leur égard. Elle semblait plutôt s'inquiéter du bien-être des enfants et vouloir éviter de nouveaux problèmes. S'agissant du prévenu C.Q.________, celui-ci a confirmé au Ministère public ne s'être entretenu qu'avec les proches de H.________ à propos de cette affaire et répondre succinctement aux interrogations des habitants du village (PV aud. 3). Enfin, concernant la lettre adressée le 3 novembre 2011 à la municipalité de M.________ (P. 9), A.Q.________ était convoqué le même jour que l'audience devant le Tribunal des mineurs pour une histoire de cailloux déplacés dans un ruisseau. Les prévenus étaient légitimés à supposer que la municipalité était au courant de la procédure pénale concernant leur fils du fait qu'C.T.________ était municipal du village. Par conséquent, les éléments constitutifs de l'infraction de diffamation ne sont pas réalisés dans la mesure où B.Q.________ et C.Q.________ n'ont pas agi dans l'intention de nuire ou de porter atteinte à H.________ et sa famille. En outre, les conditions de la preuve libératoire sont réalisées, les allégations articulées par B.Q.________ et C.Q.________ étant conformes à la réalité et ceux-ci ayant agi de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