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254 vom 20. März 2013</w:t>
      </w:r>
    </w:p>
    <w:p>
      <w:r>
        <w:t>VD Tribunal cantonal, 2013-03-20, FR</w:t>
      </w:r>
    </w:p>
    <w:p>
      <w:r>
        <w:rPr>
          <w:b/>
        </w:rPr>
        <w:t xml:space="preserve">Quelle: </w:t>
      </w:r>
      <w:r>
        <w:t>https://mcp.opencaselaw.ch/entscheid/vd_findinfo_D_cision___2013___254</w:t>
      </w:r>
    </w:p>
    <w:p>
      <w:r>
        <w:t>FR: VD_FINDINFO Décision / 2013 / 254 du 20 mars 2013</w:t>
      </w:r>
    </w:p>
    <w:p>
      <w:r>
        <w:t>IT: VD_FINDINFO Décision / 2013 / 254 del 20 marzo 2013</w:t>
      </w:r>
    </w:p>
    <w:p>
      <w:pPr>
        <w:pStyle w:val="Heading2"/>
      </w:pPr>
      <w:r>
        <w:t>Regeste</w:t>
      </w:r>
    </w:p>
    <w:p>
      <w:r>
        <w:t>DÉTENTION PRÉVENTIVE, RISQUE DE FUITE, PROPORTIONNALITÉ | 212 CPP (CH), 221 al. 1 let. a CPP (CH), 227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Le recourant invoque en premier lieu une violation de son droit d'être entendu en ce sens qu'il n'aurait pas été invité par le Tribunal des mesures de contrainte à se déterminer sur la demande de prolongation de la détention provisoire présentée par le Ministère public. Selon lui, il se justifierait dès lors d'annuler la décision et de renvoyer la cause au Tribunal des mesures de contrainte pour lui permettre de faire valoir ses déterminations. On ne peut toutefois que constater que par courrier du 5 mars 2013, adressé par fax uniquement, le Tribunal des mesures de contrainte a informé le défenseur d'office de T.________ que le procureur avait demandé la prolongation de la détention provisoire du prénommé et lui a imparti un délai de trois jours pour se déterminer par courrier sur cette demande (cf. P. 75). Il résulte en outre des pièces de forme que ce fax a été émis le 5 mars 2013, à 9 heures 52. C'est donc à tort que le recourant soutient qu'il n'a pas été interpellé par le Tribunal des mesures de contrainte. Il reste donc à déterminer si le maintien en détention provisoire de l'intéressé se justifie notamment au regard de l'art. 221 CPP.</w:t>
      </w:r>
    </w:p>
    <w:p>
      <w:r>
        <w:rPr>
          <w:b/>
        </w:rPr>
        <w:t>E. 3</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En l’espèce, le recourant ne conteste à juste titre pas l’existence de présomptions suffisantes de culpabilité à son encontre.</w:t>
      </w:r>
    </w:p>
    <w:p>
      <w:r>
        <w:rPr>
          <w:b/>
        </w:rPr>
        <w:t>E. 4</w:t>
      </w:r>
    </w:p>
    <w:p>
      <w:r>
        <w:t>a) La décision se fonde sur le risque de fuite (cf. art. 221 al. 1 let. a CPP), lequel est contesté par le recourant.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c) En l'espèce, s'agissant d'un prévenu ressortissant de Guinée-Bissau, sans profession et sans aucune attache avec la Suisse, il existe un risque concret que T.________ tente de se soustraire aux poursuites pénales en cas de libération. Au vu de ces éléments, le risque de fuite apparaît non seulement possible, mais également probable (TF 1B_414/2011 du 5 septembre 2011 c. 3.1). Par ailleurs, la mesure de substitution invoquée par le recourant, soit l'assignation dans un lieu à déterminer, avec obligation de déposer son passeport et de se soumettre à un contrôle régulier, ne saurait empêcher que l'intéressé entre dans la clandestinité pour échapper à une sanction, respectivement ne saurait pallier le risque de fuite.</w:t>
      </w:r>
    </w:p>
    <w:p>
      <w:r>
        <w:rPr>
          <w:b/>
        </w:rPr>
        <w:t>E. 5</w:t>
      </w:r>
    </w:p>
    <w:p>
      <w:r>
        <w:t>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T.________ est détenu depuis le 19 septembre 2012, soit depuis environ six mois. Compte tenu de la gravité des actes qui lui sont reprochés, à savoir la participation à un trafic de 227.5 g de cocaïne pure, le recourant s'expose à une peine privative de liberté d’une durée supérieure à celle de la détention provisoire subie à ce jour. Au vu de ces éléments, le principe de proportionnalité des intérêts en présence demeure respecté.</w:t>
      </w:r>
    </w:p>
    <w:p>
      <w:r>
        <w:rPr>
          <w:b/>
        </w:rPr>
        <w:t>E. 6</w:t>
      </w:r>
    </w:p>
    <w:p>
      <w:r>
        <w:t>En définitive, le recours doit être rejeté et l'ordonnance attaquée confirmée. Les frais de la procédure de recours, constitués en l’espèce de l’émolument d'arrêt, par 660 fr. (art. 20 al. 1 TFJP [tarif des frais judiciaires pénaux;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T.________ est fixée à 583 fr. 20 (cinq cent huitante-trois francs et vingt centimes). IV. Les frais d'arrêt, par 660 fr. (six cent soixante francs), ainsi que l'indemnité due au défenseur d'office de T.________ par 583 fr. 20 (cinq cent huitante-trois francs et vingt centimes), sont mis à la charge de ce dernier. V. Le remboursement à l'Etat de l'indemnité allouée au chiffre III ci-dessus sera exigible pour autant que la situation économique de T.________ se soit améliorée. VI. Le présent arrêt est exécutoire. Le vice-président : La greffière : Du L'arrêt qui précède, dont la rédaction a été approuvée à huis clos, est notifié, par l'envoi d'une copie complète, à : - M. David Métille, avocat (pour T.________),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