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235 vom 12. März 2013</w:t>
      </w:r>
    </w:p>
    <w:p>
      <w:r>
        <w:t>VD Tribunal cantonal, 2013-03-12, FR</w:t>
      </w:r>
    </w:p>
    <w:p>
      <w:r>
        <w:rPr>
          <w:b/>
        </w:rPr>
        <w:t xml:space="preserve">Quelle: </w:t>
      </w:r>
      <w:r>
        <w:t>https://mcp.opencaselaw.ch/entscheid/vd_findinfo_D_cision___2013___235</w:t>
      </w:r>
    </w:p>
    <w:p>
      <w:r>
        <w:t>FR: VD_FINDINFO Décision / 2013 / 235 du 12 mars 2013</w:t>
      </w:r>
    </w:p>
    <w:p>
      <w:r>
        <w:t>IT: VD_FINDINFO Décision / 2013 / 235 del 12 marzo 2013</w:t>
      </w:r>
    </w:p>
    <w:p>
      <w:pPr>
        <w:pStyle w:val="Heading2"/>
      </w:pPr>
      <w:r>
        <w:t>Regeste</w:t>
      </w:r>
    </w:p>
    <w:p>
      <w:r>
        <w:t>NE BIS IN IDEM, CLASSEMENT DE LA PROCÉDURE | 11 CPP (CH), 319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le plaignant qui a qualité pour recourir (cf. art. 386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w:t>
      </w:r>
    </w:p>
    <w:p>
      <w:r>
        <w:rPr>
          <w:b/>
        </w:rPr>
        <w:t>E. 2.5</w:t>
      </w:r>
    </w:p>
    <w:p>
      <w:r>
        <w:t>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w:t>
      </w:r>
    </w:p>
    <w:p>
      <w:r>
        <w:rPr>
          <w:b/>
        </w:rPr>
        <w:t>E. 3</w:t>
      </w:r>
    </w:p>
    <w:p>
      <w:r>
        <w:t>a) Concernant d'abord les faits reprochés à A.Y.________, la Procureure a retenu que ceux-ci avaient déjà été pris en compte et jugés dans le cadre de la procédure ayant conduit au jugement du 4 avril 2007 de la Cour correctionnelle du canton de Genève (P. 5/5). Elle en veut pour preuve les aveux de la prénommée verbalisés dans le procès-verbal d'audition du 27 juin 2003 (PV. aud. 3, pp. 7 et 8). Le principe ne bis in idem est un corollaire de l'autorité de chose jugée. Il est ancré dans la Constitution fédérale (art. 8 al. 1 Cst.; cf. Michel Hottelier, in: Commentaire romand, Code de procédure pénale suisse, n. 1 ad art. 11 CPP) ainsi qu'à l'art. 14 al. 7 du Pacte international du 16 décembre 1966 relatif aux droits civils et politiques (RS 0.103.2) et à l'art. 4 al. 1 du Protocole n°</w:t>
      </w:r>
    </w:p>
    <w:p>
      <w:r>
        <w:rPr>
          <w:b/>
        </w:rPr>
        <w:t>E. 7</w:t>
      </w:r>
    </w:p>
    <w:p>
      <w:r>
        <w:t>à la Convention de sauvegarde des droits de l'homme et des libertés fondamentales (RS 0.101.07). Aux termes de cette dernière disposition, nul ne peut être poursuivi ou puni pénalement par les juridictions du même État en raison d'une infraction pour laquelle il a déjà été acquitté ou condamné par un jugement définitif conformément à la loi et à la procédure pénale de cet État (TF 6B_185/2012 du 6 septembre 2012, c. 3.1). Depuis le 1 er janvier 2011, ce principe figure également à l'art. 11 al. 1 CPP, sous le titre «interdiction de la double poursuite». Il prévoit qu’aucune personne condamnée ou acquittée en Suisse par un jugement entré en force ne peut être poursuivie une nouvelle fois pour la même infraction. L’existence d’une même infraction constitue le postulat de base de la règle ne bis in idem . L’interprétation de cette exigence est délicate et relève de la jurisprudence (Hottelier, in: Kuhn/Jeanneret (éd.), Commentaire romand, Code de procédure pénale suisse, Bâle 2011, n. 5 ad art. 11 CP et les références citées). La Cour Européenne des Droits de l’Homme s’est longtemps montrée hésitante sur ce point, mais une clarification est intervenue le 10 février 2009 dans un arrêt Sergeï Zolotukhine c. Russie (Hottelier, op. cit., n. 10 ad art. 11 CP). Dans cette affaire, la Cour précise, à l’issue d’un examen particulièrement approfondi des solutions retenues en droit international et en droit comparé, que l’approche qu’elle avait suivie par le passé, selon laquelle il y a pluralité d’infractions lorsque les faits reprochés au prévenu reçoivent diverses qualifications juridiques, restreignait de manière excessive les droits de la personne et conduisait à vider le principe ne bis in idem de sa substance. Dans la perspective de rendre concret et effectif ce principe, la notion de «même infraction» doit recevoir une interprétation extensive visant à lui conférer son plein effet utile. De l’avis de la Cour, la poursuite et la répression d’un agissement sont exclues dans la mesure où le même état de fait ou un état de fait substantiellement identique a déjà donné lieu à un jugement. Les autorités pénales sont dès lors tenues de concentrer leur examen sur la question de savoir si les circonstances factuelles concernant le même prévenu apparaissent comme indissociablement liées entre elles à la fois dans le temps et dans l’espace (Hottelier, op. cit., n. 10 ad art. 11 CP). b) En l'espèce, il est vrai que, lors de son audition par la police judiciaire genevoise en 2003, A.Y.________ a admis avoir intégralement perdu les 70'000 fr. que lui avait confiés X.________ en vue d'un investissement. Toutefois, ce seul élément ne suffit pas pour appliquer le principe ne bis in idem . En effet, encore faut-il que cet état de fait ait donné lieu à un jugement, autrement dit que cet élément ait concrètement été retenu à charge de la prévenue dans le cadre du jugement qui a clos la procédure. En l'occurence, X.________ ne figure pas dans la liste des parties civiles du procès ayant conduit au jugement du 4 avril 2007 (P. 5/5, p. 2). En outre, l'exemplaire du jugement qui figure au dossier de la présente cause (P. 5) ne comporte ni état de fait, ni "l'annexe n°1" qui consiste en l'ordonnance de renvoi. En l'absence de ces éléments, il est impossible de déterminer les faits qui ont effectivement été retenus à charge de A.Y.________ dans le cadre du jugement du 4 avril 2007 et, en particulier, on ignore si ces faits comprennent ceux dénoncés par X.________ dans sa plainte du 4 mars 2011. En l'état du dossier, on ne saurait dès lors faire application du principe ne bis in idem sans un complément d'instruction, notamment la production de l'annexe n°1 du jugement genevois. Par surabondance, il convient de préciser que, si les agissements à l'égard de X.________ devaient ne pas avoir été pris en compte dans l'état de fait du jugement genevois du 4 avril 2007, il y aurait dès lors lieu d'examiner plus avant la question de la date de la commission de l'infraction et, par conséquent, du droit applicable au calcul de la prescription. Pour ce motif déjà, le recours de X.________ doit être admis et le dossier de la cause renvoyé à la Procureure de l'arrondissement de Lausanne pour qu'elle complète l'instruction, puis rende une nouvelle décision. 4. A cela s'ajoute que le Ministère public de l’arrondissement de Lausanne n'a ouvert l'instruction le 12 mai 2012 qu'à l'égard de A.Y.________ (PV des op., p. 2). Dans cette logique, l'ordonnance de classement ne concerne également que la prénommée. A aucun moment l'instruction ne mentionne l'existence d'autres prévenus potentiels. Pourtant, X.________ a également déposé plainte contre B.Y.________, F.________ – bien qu'il ait récemment retiré sa plainte contre ce dernier (P. 26, p. 7) –, ainsi que contre inconnu et contre la société C.________SA (anciennement D.________SA) dans son acte du 4 mars 2011. Il appartiendra ainsi à la Procureure d'examiner l'éventuelle implication de ces autres intervenants et de rendre une décision formelle à cet égard. 4. En définitive, le recours doit être admis et l'ordonnance de classement du 8 octobre 2012 annulée. Le dossier de la cause sera renvoyé à la Procureure de l'arrondissement de Lausanne pour qu'elle procède dans le sens des considérants, puis rende une nouvelle décision. Les frais d'arrêt, par 880 fr. (art. 20 al. 1 TFJP [tarif des frais judiciaires pénaux du 28 septembre 2010; RSV 312.03.1]), seront laissés à la charge de l'Etat (art. 428 al. 4 CPP). Par ces motifs, la Chambre des recours pénale, statuant à huis clos, prononce : I. Le recours est admis. II. L'ordonnance est annulée. III. Le dossier de la cause est renvoyé à la Procureure de l'arrondissement de Lausanne pour qu'elle procède dans le sens des considérants, puis rende une nouvelle décision. IV. Les frais d'arrêt, par 880 fr. (huit cent huitante francs), sont laissés à la charge de l'Etat. V. L'arrêt est exécutoire. Le vice-président : La greffière : Du L'arrêt qui précède, dont la rédaction a été approuvée à huis clos, est notifié, par l'envoi d'une copie complète, à : - M. X.________, - Mme A.Y.________,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