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202 vom 7. März 2013</w:t>
      </w:r>
    </w:p>
    <w:p>
      <w:r>
        <w:t>VD Tribunal cantonal, 2013-03-07, FR</w:t>
      </w:r>
    </w:p>
    <w:p>
      <w:r>
        <w:rPr>
          <w:b/>
        </w:rPr>
        <w:t xml:space="preserve">Quelle: </w:t>
      </w:r>
      <w:r>
        <w:t>https://mcp.opencaselaw.ch/entscheid/vd_findinfo_D_cision___2013___202</w:t>
      </w:r>
    </w:p>
    <w:p>
      <w:r>
        <w:t>FR: VD_FINDINFO Décision / 2013 / 202 du 7 mars 2013</w:t>
      </w:r>
    </w:p>
    <w:p>
      <w:r>
        <w:t>IT: VD_FINDINFO Décision / 2013 / 202 del 7 marzo 2013</w:t>
      </w:r>
    </w:p>
    <w:p>
      <w:pPr>
        <w:pStyle w:val="Heading2"/>
      </w:pPr>
      <w:r>
        <w:t>Regeste</w:t>
      </w:r>
    </w:p>
    <w:p>
      <w:r>
        <w:t>DÉTENTION INJUSTIFIÉE, DÉTENTION PRÉVENTIVE | 221 al. 1 let. b CPP (CH), 221 al. 1 let. c CPP (CH), 222 CPP (CH), 226 al. 5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393ss CPP, contre une décision de mise en liberté rendue par le Tribunal des mesures de contrainte (ATF 137 IV 22 c. 1.2 à 1.4 et les références citées, jurisprudence confirmée ultérieurement à l’ATF 137 IV 87 et à l’ATF 137 IV 230 c. 1). b) Adressé par écrit, dans le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le recours du Ministère public est donc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b) En l’espèce, compte tenu des éléments au dossier, il existe une présomption suffisamment sérieuse de culpabilité à l’encontre de A.B.________, malgré ses dénégations.</w:t>
      </w:r>
    </w:p>
    <w:p>
      <w:r>
        <w:rPr>
          <w:b/>
        </w:rPr>
        <w:t>E. 3</w:t>
      </w:r>
    </w:p>
    <w:p>
      <w:r>
        <w:t>a) La Procureure de l’arrondissement de Lausanne invoque un risque de collusion. b) Comme on l’a vu (cf. c. 2a supra), il ressort de l’art. 221 al. 1 let. b CPP que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 14 et 15 ad art. 221 CPP; cf. ATF 137 IV 122 c. 6.2 et 6.4) –, vise à garantir la constatation exacte et complète des faits. D’après la jurisprudence, le risque de collusion doit être étayé par des faits concrets et précis; la simple possibilité théorique que le prévenu se livre à des manoeuvres destinées à compromettre la recherche de la vérité ne suffit pas (ATF 132 I 21 c. 3.2 et les arrêts cités). Dans ce contexte, il faudra s’intéresser tout particulièrement au comportement du prévenu durant la procédure (déclarations, coopération, tendance à la manipulation, etc.), à ses caractéristiques personnelles (réputation, sanctions précédentes, etc.), à son rôle dans l’infraction, ainsi qu’à ses liens personnels avec les personnes qui le chargent; l’importance et le caractère des déclarations et des moyens de preuves susceptibles d’être altérés doit également être prise en considération, de même que la gravité de l’infraction et le stade de la procédure auquel on se trouve (ATF 132 I 21 c. 3.2.1, et les références citées). c) En l’espèce, l’enquête, en particulier les auditions de A.B.________, des co-prévenus, de la partie plaignante et des témoins, a permis d’établir suffisamment les faits. La Procureure n’allègue d’ailleurs pas devoir entreprendre de nouvelles mesures d’instruction. Seule l’arrestation de C.B.________ paraît à ce jour devoir encore être envisagée. Il peut néanmoins être admis que A.B.________ serait susceptible d’exercer des pressions sur sa belle-sœur afin qu’elle retire les déclarations qu’elle a faites à charge de son mari, D.B.________. Toutefois, comme le relève à juste titre le Tribunal des mesures de contrainte, faute d’éléments concrets, la détention provisoire ne peut être justifiée sur une simple supposition. Ainsi, le risque de collusion n’est pas réalisé.</w:t>
      </w:r>
    </w:p>
    <w:p>
      <w:r>
        <w:rPr>
          <w:b/>
        </w:rPr>
        <w:t>E. 4</w:t>
      </w:r>
    </w:p>
    <w:p>
      <w:r>
        <w:t>a) Il convient également d’examiner si un risque de réitération existe, comme la Procureure paraît le sous-entendre. b) Le maintien en détention provisoire respectivement pour des motifs de sûreté se justifie s'il y a lieu de présumer, avec une certaine vraisemblance, qu'il existe un danger de récidive. Selon la jurisprudence du Tribunal fédéral, il convient de faire preuve de retenue dans l'appréciation d'un tel risque: le maintien en détention ne peut se justifier pour ce motif que si le pronostic est très défavorable et que les délits dont l'autorité redoute la réitération sont graves;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Un risque de passage à l’acte au sens de l’art. 221 al. 2 CPP existe s’il y a sérieusement lieu de craindre qu’une personne passe à l’acte après avoir menacé de commettre un crime grave. La nécessité de détourner des personnes de la commission d’infractions pénales est expressément reconnue comme motif de détention par l’art. 5 ch. 1 let. c CEDH (ATF 133 I 270 c. 2.1 p. 275, JdT 2011 IV 3). La seule possibilité hypothétique de commission d’infraction de même que la vraisemblance que seules des infractions mineures soient commises, ne suffisent en tout cas pas à fonder une détention préventive (ATF 125 I 60 c. 3a p. 62 avec réf., JdT 2006 IV 114). Selon la jurisprudence du Tribunal fédéral, la retenue est de mise pour considérer qu’une personne accusée pourrait commettre une infraction grave. Un pronostic très défavorable doit être réalisé. Il n’est toutefois pas nécessaire que la personne soupçonnée se soit déjà livrée à des préparatifs concrets pour commettre les faits redoutés. Il est au contraire suffisant que la probabilité du passage à l’acte apparaisse comme très élevée sur la base d’une mise en balance globale des relations personnelles ainsi que des circonstances (ATF 125 I 361 c. 5 p. 366 s., JdT 2006 IV 114). En particulier en cas de menace de crime de violence, il y a lieu de prendre en compte l’état psychique de la personne soupçonnée, respectivement son imprévisibilité ou son agressivité (cf ATF 123 I 268 c. 2e pp. 271 s., JdT 1999 IV 144). Comme sous l’ancienne jurisprudence, après l’entrée en vigueur du CPP, il y a lieu de retenir, ce que l’art. 221 al. 2 CPP requiert désormais expressément, que la commission d’un crime grave menace. L’art. 10 al. 2 CP ne contient toutefois pas de critère de distinction clair entre un crime «grave» et «de moindre gravité» (cf. Marc Forster, in: Basler Kommentar CPP, 2011, n. 18 ad art. 221 CPP). Cependant, la possibilité d’ordonner une détention provisoire fait défaut lorsque le risque de passage à l’acte ne se rapporte qu’à un délit au sens de l’art. 10 al. 3 CP. c) En l’espèce, il sied de relever que A.B.________ ne paraît pas avoir eu un rôle déterminant dans cette affaire. Bien qu’il ait vraisemblablement couvert son frère D.B.________ quant à ses accès de violence, notamment s’agissant des blessures infligées au visage de E.B.________, l’intimé est apparu comme un chef de famille responsable en invitant son frère à se présenter à la police et en essayant de régler les problèmes personnels entre celui-ci et sa belle-sœur. Au surplus, l’intéressé paraît avoir une vie familiale et professionnelle stable, malgré une condamnation, le 10 septembre 2012, à une peine pécuniaire de 40 jours-amende à 50 fr. avec sursis pour infraction à la LEtr et contravention à l’OCR (Ordonnance du 13 novembre 1962 sur les règles de la circulation; RS 714.11). Partant, rien au dossier n’indique que A.B.________ pourrait sérieusement compromettre la sécurité de E.B.________, tout en sachant que cette dernière, prise en charge par le Centre LAVI, se trouve dans un lieu inconnu de l’intimé. Un risque de récidive au sens de l’art. 221 al. 1 let. c CPP peut ainsi être écarté.</w:t>
      </w:r>
    </w:p>
    <w:p>
      <w:r>
        <w:rPr>
          <w:b/>
        </w:rPr>
        <w:t>E. 5</w:t>
      </w:r>
    </w:p>
    <w:p>
      <w:r>
        <w:t>Il résulte de ce qui précède que le recours, manifestement mal fondé, doit être rejeté. Les frais de la procédure de recours, constitués en l’espèce de l’émolument d'arrêt, par 880 fr. (art. 20 al. 1 TFJP [tarif des frais judiciaires pénaux; RSV 312.03.1]) et des frais imputables à la défense d’office (art. 422 al. 1 et 2 let. a CPP), fixés à 360 fr., plus la TVA par 28 fr. 80, soit un total de 388 fr. 80, seront laissés à la charge de l'Etat. Par ces motifs, la Chambre des recours pénale, statuant à huis clos, prononce : I. Le recours est rejeté. II. L’ordonnance attaquée est confirmée. III. L'indemnité allouée au défenseur d'office de A.B.________ est fixée à 388 fr. 80 (trois cent huitante-huit francs et huitante centimes), TVA comprise. IV. Les frais du présent arrêt, par 880 fr. (huit cent huitante francs), ainsi que l'indemnité due au défenseur d'office de A.B.________, par 388 fr. 80 (trois cent huitante-huit francs et huitante centimes), sont laissés à la charge de l'Etat. V. Le présent arrêt est exécutoire. Le vice-président : La greffière : Du L'arrêt qui précède, dont la rédaction a été approuvée à huis clos, est notifié, par l'envoi d'une copie complète, à : - M. Olivier Boschetti, avocat (pour A.B.________), - Ministère public central, et communiqué à : ‑ Mme Isabelle Jaques, avocate (pour E.B.________),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