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195 vom 5. März 2013</w:t>
      </w:r>
    </w:p>
    <w:p>
      <w:r>
        <w:t>VD Tribunal cantonal, 2013-03-05, FR</w:t>
      </w:r>
    </w:p>
    <w:p>
      <w:r>
        <w:rPr>
          <w:b/>
        </w:rPr>
        <w:t xml:space="preserve">Quelle: </w:t>
      </w:r>
      <w:r>
        <w:t>https://mcp.opencaselaw.ch/entscheid/vd_findinfo_D_cision___2013___195</w:t>
      </w:r>
    </w:p>
    <w:p>
      <w:r>
        <w:t>FR: VD_FINDINFO Décision / 2013 / 195 du 5 mars 2013</w:t>
      </w:r>
    </w:p>
    <w:p>
      <w:r>
        <w:t>IT: VD_FINDINFO Décision / 2013 / 195 del 5 marzo 2013</w:t>
      </w:r>
    </w:p>
    <w:p>
      <w:pPr>
        <w:pStyle w:val="Heading2"/>
      </w:pPr>
      <w:r>
        <w:t>Regeste</w:t>
      </w:r>
    </w:p>
    <w:p>
      <w:r>
        <w:t>CLASSEMENT DE LA PROCÉDURE, SOUSTRACTION D'UNE CHOSE MOBILIÈRE, GESTION DÉLOYALE | 137 ch. 1 CP, 141 CP, 319 al. 1 CPP (CH)</w:t>
      </w:r>
    </w:p>
    <w:p>
      <w:pPr>
        <w:pStyle w:val="Heading2"/>
      </w:pPr>
      <w:r>
        <w:t>Erwägungen</w:t>
      </w:r>
    </w:p>
    <w:p>
      <w:r>
        <w:rPr>
          <w:b/>
        </w:rPr>
        <w:t>E. 1</w:t>
      </w:r>
    </w:p>
    <w:p>
      <w:r>
        <w:t>CPP). Il est donc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La qualification juridique des faits faisant l'objet de la plainte relève de la compétence des autorités pénales saisies (ATF 115 IV 1 c. 2a).</w:t>
      </w:r>
    </w:p>
    <w:p>
      <w:r>
        <w:rPr>
          <w:b/>
        </w:rPr>
        <w:t>E. 3</w:t>
      </w:r>
    </w:p>
    <w:p>
      <w:r>
        <w:t>a) En l’espèce, la recourante ne conteste pas le classement de la procédure pour ce qui est de l'infraction de gestion déloyale, s'agissant donc des retraits bancaires effectués par la prévenue à son débit. Pour ce qui est de la rétention de la bibliothèque dont elle se dit seule légataire, elle fait en revanche grief au Procureur d'avoir nié tout dessein d'appropriation illégitime de la part de la prévenue pour écarter l'infraction de gestion déloyale, ainsi que de n'avoir pas retenu à tout le moins l'infraction de soustraction d'une chose mobilière. b) L'art. 137 ch. 1 CP (Code pénal; RS 311.0) dispose que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aa)              L'acte d'appropriation réprimé par l'art. 137 CP revêt deux aspects, à savoir le fait de priver définitivement l'ayant droit de la possibilité de disposer de la chose, d'abord, et le fait de créer une nouvelle possession en sa faveur ou en faveur d'un tiers, ensuite, à telle enseigne que l'ayant droit n'a plus la possibilité d'exercer son pouvoir de disposition matérielle sur la chose (Hurtado Pozo, Droit pénal, Partie spéciale, Zurich 2009, n° 781, p. 237). Si la dépossession doit avoir un caractère définitif, l'appropriation peut en revanche être temporaire (Hurtado Pozo, op. cit., n° 785, p. 238). Il y a appropriation lorsque l'auteur accomplit un acte de disposition sur la chose (par exemple, il la vend), lorsqu'il la consomme ou encore lorsqu'il manifeste qu'il veut la garder et l'utiliser pour lui-même pendant une durée indéterminée (Corboz, Les infractions en droit suisse, vol. I, 3 e éd, Berne 2010, ch. 10 ad art. 137 CP, p. 226; Hurtado Pozo, op. cit., n° 787, p. 239). Il n'y a pas d'appropriation si d'emblée l'auteur veut rendre une chose intacte après un acte d'utilisation (Corboz, op. cit., ibid.), L'art. 137 CP comporte en outre un élément constitutif subjectif particulier, à savoir le dessein d'enrichissement illégitime (Corboz, op. cit., ch. 15 s. ad art. 137 CP, p. 227). L'enrichissement peut s'étendre à la valeur d'usage de la chose (Hurtado Pozo, op. cit., n° 807, pp. 244 s.). Le caractère illégitime de l'enrichissement existe lorsque l'auteur n'a aucun droit à l'avantage qu'il a retiré de la chose (Hurtado Pozo, op. cit., n° 809, p. 245). bb) En l'espèce, c'est à juste titre que le Procureur a retenu que la prévenue n'avait pas mis la main sur la bibliothèque dans un dessein d'enrichissement illégitime. Il ressort en effet des moyens de la recourante que l'intimée a agi afin que l'élément de patrimoine en question soit dévolu conformément à la volonté qu'elle attribue au de cujus , donc pour éviter qu'il ne revienne à une tierce personne. Il doit être retenu que c'est dans cette seule intention qu'elle a pris possession, puis entreposé, les biens successoraux en cause. Le fait qu'elle refuse de révéler leur lieu de situation n'y change rien. Faute de dessein d'appropriation, l'élément constitutif subjectif constitué par le dessein d'enrichissement illégitime n'est donc pas réalisé. c) Cela étant, le dessein d’appropriation n'est pas un élément constitutif de l'infraction réprimée par l'art. 141 CP, qui prévoit que celui qui, sans dessein d’appropriation, aura soustrait une chose mobilière à l’ayant droit et lui aura causé par là un préjudice considérable sera, sur plainte, puni d’une peine privative de liberté de trois ans au plus ou d’une peine pécuniaire. aa) Il y a soustraction d'une chose mobilière même dans le cas d'une simple dissimulation de la chose ( Vorenthalten ) et même si l'auteur viole par là une obligation contractuelle de restituer la chose, à condition qu'il cache ou retienne la chose de façon à empêcher l'ayant droit de la récupérer ou, à tout le moins, en rendant cette récupération particulièrement difficile (Weissenberger, in : Niggli/ Wiprächtiger, Strafgesetzbuch II, Art. 111-401 StGB, 2 e éd., Bâle 2007, n. 16 ad art. 141 CP, pp. 434 s.; Dupuis/Geller/Monnier/Moreillon/Piguet/Bettex/Stoll [éd.], Petit commentaire CP, Bâle 2012, nn. 5 à 7 ad art. 141 CP, pp. 786 s.; Corboz, op. cit., n. 8 ad art. 141 CP, p. 269). Quant à l'élément constitutif du préjudice considérable, il doit être relevé que même un désagrément suffit à réaliser cet élément constitutif de l'infraction; dire si celui-ci est suffisamment important pour justifier la répression pénale est une question d'appréciation (Corboz, op. cit., n. 9 ad art. 141 CP, pp. 269 s.). bb) En l'espèce, il ressort de la déposition de l'exécuteur testamentaire [...] que la bibliothèque manquante ne devait pas revenir à la prévenue, qui, selon ses propres dires, l'avait entreposée dans une maison en France car elle se méfiait qu'elle soit finalement cédée à une tierce personne, étant précisé que la prévenue avait refusé de révéler à la plaignante le lieu de situation de la bibliothèque en question. La prévenue a confirmé ce dernier fait lors de son audition. Il y a ainsi bien eu – de l'aveu même de la prévenue – soustraction au sens de l'art. 141 CP, puisque l'intéressée a pris possession des biens successoraux en question et les dissimule depuis lors dans un lieu connu d'elle seule, ce de façon à empêcher la plaignante de les récupérer. Quant à savoir si l'intimée a causé à la recourante par là un préjudice considérable au sens légal, il suffit de relever que le fait, pour celle-ci, de ne pas disposer d'un élément de patrimoine relevant de son but social et dont elle se tient pour seule légataire constitue un désagrément au sens de la doctrine la plus autorisée (Corboz, op. cit., n. 9 ad art. 141 CP, pp. 269 s., spéc. in fine p. 270). Dès lors, les faits, tels qu'ils résultent du dossier en l'état, n'excluent pas que les éléments constitutifs objectifs et subjectifs de l'infraction réprimée par l'art. 141 CP, que le Procureur n'a pas examinés, puissent être réalisés. Le principe " in dubio pro duriore" commande donc la poursuite de la procédure à tout le moins pour l'infraction de soustraction d'une chose mobilière.</w:t>
      </w:r>
    </w:p>
    <w:p>
      <w:r>
        <w:rPr>
          <w:b/>
        </w:rPr>
        <w:t>E. 4</w:t>
      </w:r>
    </w:p>
    <w:p>
      <w:r>
        <w:t>Il résulte de ce qui précède que le recours doit être admis et l'ordonnance annulée, la cause étant renvoyée au Procureur pour qu'il en complète l'instruction dans le sens des considérants, puis rende une nouvelle décision. Les frais de la procédure de recours, composés de l'émolument d'arrêt, par 880 fr. (art. 20 al. 1 TFJP [Tarif des frais judiciaires pénaux du 28 septembre 2010, RSV 312.03.1]), seront mis à la charge de l'intimée, qui succombe (art. 428 al. 1 CPP). Par ces motifs, la Chambre des recours pénale, statuant à huis clos, prononce : I. Le recours est admis. II. L'ordonnance de classement du 4 décembre 2012 est annulée. III. Le dossier de la cause est renvoyé au Ministère public de l'arrondissement de l'Est vaudois pour qu'il procède dans le sens des considérants, puis rende une nouvelle décision. IV. Les frais du présent arrêt, par 880 fr. (huit cent huitante francs), sont mis à la charge de l'intimée A.________. V. Le présent arrêt est exécutoire. Le vice-président : Le greffier : Du L'arrêt qui précède, dont la rédaction a été approuvée à huis clos, est notifié, par l'envoi d'une copie complète, à : - Mme Marie-Pomme Moinat, avocate (pour l'U.________), - M. Guy Longchamp, avocat (pour A.________), - Ministère public central, et communiqué à : - Monsieur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