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164 vom 25. Februar 2013</w:t>
      </w:r>
    </w:p>
    <w:p>
      <w:r>
        <w:t>VD Tribunal cantonal, 2013-02-25, FR</w:t>
      </w:r>
    </w:p>
    <w:p>
      <w:r>
        <w:rPr>
          <w:b/>
        </w:rPr>
        <w:t xml:space="preserve">Quelle: </w:t>
      </w:r>
      <w:r>
        <w:t>https://mcp.opencaselaw.ch/entscheid/vd_findinfo_D_cision___2013___164</w:t>
      </w:r>
    </w:p>
    <w:p>
      <w:r>
        <w:t>FR: VD_FINDINFO Décision / 2013 / 164 du 25 février 2013</w:t>
      </w:r>
    </w:p>
    <w:p>
      <w:r>
        <w:t>IT: VD_FINDINFO Décision / 2013 / 164 del 25 febbraio 2013</w:t>
      </w:r>
    </w:p>
    <w:p>
      <w:pPr>
        <w:pStyle w:val="Heading2"/>
      </w:pPr>
      <w:r>
        <w:t>Regeste</w:t>
      </w:r>
    </w:p>
    <w:p>
      <w:r>
        <w:t>NOTIFICATION DE LA DÉCISION, OPPOSITION TARDIVE | 158 al. 1 let. a CPP (CH), 88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w:t>
      </w:r>
    </w:p>
    <w:p>
      <w:r>
        <w:t>CPP). c) En dérogation à l’art. 88 al. 1 et 2 CPP, l’art. 88 al. 4 CPP dispose que les ordonnances de classement et les ordonnances pénales sont réputées notifiées même en l’absence d’une publication. Cette fiction n’est valable que si l’une des conditions exigées par l’art. 88 al. 1 let. a à c CPP est remplie (Macaluso/Toffel, in: Kuhn/Jeanneret (éd.), op. cit., nn. 24 s. ad art. 88 CPP; Brüschweiler, in: Donatsch/Hansjakob/Lieber (éd.), Kommentar zur Schweizerischen Strafprozessordnung, 2010, n. 8 ad art. 88 CPP; Arquint, in: Niggli/Heer/Wiprächtiger (éd.), op. cit., n. 11 ad art. 88 CPP).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op. cit., n. 8 ad art. 88 CPP). d) Il convient de relever que le destinataire doit s'attendre à la remise d'un pli dès l'ouverture de la procédure. C'est un devoir procédural qui vaut pour toute la durée de la procédure et qui impose aux parties de se comporter conformément aux règles de la bonne foi (Macaluso/Toffel, op. cit., n. 33 ad art. 85 CPP; TF 6B_70/2011 du 1 er juillet 2011 c. 2.2.3; ATF 130 III 396 c. 1.2.3). Un seul interrogatoire de police ne suffit en général pas pour devoir s'attendre à une notification (SJ 2001 I 449; Macaluso/Toffel, op. cit., n. 33 ad art. 85 CPP). 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Il faut en principe que la personne entendue par la police se voie clairement indiquer qu'une action pénale est ouverte contre elle (ibidem). e)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Kuhn/Jeanneret (éd.), op. cit., n. 7 ad art. 158 CPP; Message du Conseil fédéral relatif à l’unification du droit de la procédure pénale du 21 décembre 2005, FF 2006 II 1057 ss, spéc. 1172).</w:t>
      </w:r>
    </w:p>
    <w:p>
      <w:r>
        <w:rPr>
          <w:b/>
        </w:rPr>
        <w:t>E. 3</w:t>
      </w:r>
    </w:p>
    <w:p>
      <w:r>
        <w:t>Préliminairement, il sied de constater que Z.________ est de nationalité française et est domicilié en France. En vertu du traité bilatéral d’entraide judiciaire entre la Suisse et la France prévoyant une notification directe postale de toute pièce de procédure et toute décision en matière pénale (cf. Accord conclu le 28 octobre 1996 entre le Conseil fédéral et la République française complétant la Convention européenne d’entraide judiciaire en matière pénale du 20 avril 1959; RS 0.351.934.92), le recourant n’était pas tenu de désigner un domicile de notification en Suisse (art. 87 al. 2 CPP).</w:t>
      </w:r>
    </w:p>
    <w:p>
      <w:r>
        <w:rPr>
          <w:b/>
        </w:rPr>
        <w:t>E. 4</w:t>
      </w:r>
    </w:p>
    <w:p>
      <w:r>
        <w:t>a) En l’espèce, le recourant soutient n’avoir pas reçu les informations imposées par l’art. 158 al. 1 let. a CPP lors des auditions menées par la police et le juge d’instruction et n’avoir pas été entendu par le Ministère public après l’entrée en vigueur du nouveau CPP. Il ressort des procès-verbaux d’audition que Z.________ a été entendu à quatre reprises lors de l’instruction dirigée par le Juge d’instruction et par la police, sur réquisition du Juge d’instruction. Lors de chaque audition, il a été rendu attentif au fait qu’il était entendu en qualité de prévenu dans le cadre d’une enquête instruite à son encontre pour vol, vol en bande et contravention à la LStup, qu’il était libre de se taire et qu’il avait droit à un défenseur (cf. PV aud. 1, 3, 5 et 6). Ainsi, le recourant ne peut se prévaloir du fait qu’il ignorait faire l’objet d’une procédure pénale et qu’il n’avait pas été informé de ses droits conformément à l’art. 158 al. 1 let. a du Code de procédure pénale suisse, entré en vigueur le 1 er janvier 2011. En outre, rien n’oblige le Ministère public à entendre le prévenu lors d’une audition finale (art. 317 CPP) et à l’informer de la clôture prochaine de l’instruction avant de rendre une ordonnance pénale (art. 318 al. 1 CPP), contrairement à ce que suggère Z.________. b) Le recourant soutient également que ce serait en raison des carences de la poste française que l’ordonnance pénale du 3 octobre 2011 ne lui aurait pas été notifiée. En l’espèce, Z.________ a produit, à l’appui de son recours, un contrat de réexpédition avec la poste française (P. 14/1). Celui-ci mentionne le déménagement du recourant de son adresse connue à Lancrans, à partir du 20 avril 2010, pour la ville de Tourcoing. La réexpédition n’avait qu’un effet temporaire de six mois, soit jusqu’au 20 octobre 2010, respectivement jusqu’au 30 octobre 2010 (cf. P. 14/2). Le recourant n’a pas allégué ni démontré qu’il aurait renouvelé la souscription du contrat de réexpédition, procédé nécessaire selon l’art. 3 des « conditions spécifiques de vente – particuliers » (P. 14/1 au verso). Ainsi, lors de l’envoi de l’ordonnance pénale du 3 octobre 2011, le recourant, d’une part, ne vivait plus à l’adresse connue des autorités vaudoises, et d’autre part, ne bénéficiait plus d’une réexpédition de son courrier par la poste française. Il appartenait donc au recourant d’annoncer à l’autorité pénale une adresse valable en France et de renseigner spontanément cette dernière de tout changement de domicile, ce qu’il admet n’avoir pas fait. Ce devoir procédural, fondé sur les règles de la bonne foi, valait pour toute la durée de la procédure (Macaluso/Toffel, in: Kuhn/Jeanneret (éd.), op. cit., n. 33. ad art. 85 CPP). Le recourant était donc tenu de tout mettre en œuvre pour garantir le bon acheminement du pli en cas de changement d’adresse en France et cela indépendamment de tout dysfonctionnement de la poste française, qui n’a au surplus pas été démontré dans le cas d’espèce. c) Le recourant ayant fautivement empêché la notification postale, il convient d’examiner si l’art. 88 al. 4 CPP, prévoyant la fiction de la notification des ordonnances pénales, est applicable. Le Ministère public a adressé l’ordonnance pénale litigieuse par « recommandé étranger » à l’adresse fournie par le recourant. Cette ordonnance étant parvenue en retour avec la mention « destinataire non identifiable », la recherche du lieu de séjour de Z.________, domicilié en France, aurait nécessité des démarches disproportionnées qui ne pouvaient être raisonnablement exigées des autorités pénales vaudoises. Ainsi, les conditions de l’art. 88 al. 1 let. a et b CPP sont remplies et la fiction de l’art. 88 al. 4 CPP est applicable, de sorte que l’ordonnance pénale rendue le 3 octobre 2011 a été valablement notifiée même en l’absence d’une publication dans la Feuille des avis officiels.</w:t>
      </w:r>
    </w:p>
    <w:p>
      <w:r>
        <w:rPr>
          <w:b/>
        </w:rPr>
        <w:t>E. 5</w:t>
      </w:r>
    </w:p>
    <w:p>
      <w:r>
        <w:t>Il résulte de ce qui précède que le recours, manifestement mal fondé, doit être rejeté sans autres échanges d'écritures (art. 390 al. 2 CPP). Les frais de la procédure de recours, constitués en l'espèce du seul émolument d'arrêt (art. 422 al. 1 CPP), par 990 fr. (art. 20 al. 1 TFJP [Tarif des frais judiciaires pénaux du 28 septembre 2010; RSV 312.03.1]), seront mis à la charge du recourant qui succombe (art. 428 al. 1 CPP). Par ces motifs, la Chambre des recours pénale, statuant à huis clos, prononce : I. Le recours est rejeté. II. Le prononcé attaqué est confirmé. III. Les frais du présent arrêt, par 990 fr. (neuf cent nonante francs), sont mis à la charge de Z.________. IV. Le présent arrêt est exécutoire. Le vice-président : La greffière : Du L'arrêt qui précède, dont la rédaction a été approuvée à huis clos, est notifié, par l'envoi d'une copie complète, à : - M. Marc-Aurèle Vollenweider, avocat (pour Z.________), - Ministère public central, et communiqué à : ‑ M. le Président du Tribunal de police de l'arrondissement de Lausanne, - M. le Procureur de l'arrondissement de Lausanne, - Service pénitentiaire, - Direction de la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