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162 vom 13. September 2012</w:t>
      </w:r>
    </w:p>
    <w:p>
      <w:r>
        <w:t>VD Tribunal cantonal, 2012-09-13, FR</w:t>
      </w:r>
    </w:p>
    <w:p>
      <w:r>
        <w:rPr>
          <w:b/>
        </w:rPr>
        <w:t xml:space="preserve">Quelle: </w:t>
      </w:r>
      <w:r>
        <w:t>https://mcp.opencaselaw.ch/entscheid/vd_findinfo_D_cision___2013___162</w:t>
      </w:r>
    </w:p>
    <w:p>
      <w:r>
        <w:t>FR: VD_FINDINFO Décision / 2013 / 162 du 13 septembre 2012</w:t>
      </w:r>
    </w:p>
    <w:p>
      <w:r>
        <w:t>IT: VD_FINDINFO Décision / 2013 / 162 del 13 settembre 2012</w:t>
      </w:r>
    </w:p>
    <w:p>
      <w:pPr>
        <w:pStyle w:val="Heading2"/>
      </w:pPr>
      <w:r>
        <w:t>Regeste</w:t>
      </w:r>
    </w:p>
    <w:p>
      <w:r>
        <w:t>OPPOSITION TARDIVE | 354 CPP (CH), 393 al. 1 let. b CPP (CH), 85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b) 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c) En l'espèce, il résulte du dossier que l'ordonnance pénale du 13 septembre 2012 a été notifiée à W.________ le 5 octobre 2012 (cf. P. 7). Le délai de dix jours pour former opposition est arrivé à échéance le lundi 15 octobre 2012. Ayant été postée le 3 novembre 2012, l'opposition du prénommé doit dès lors être considérée comme tardive, de sorte que c'est à bon droit que le Tribunal de police de l'arrondissement de Lausanne l'a déclarée irrecevable. Le recourant ne conteste d'ailleurs pas la tardiveté de son opposition, mais uniquement les faits retenus par le procureur. Cela étant, dans la mesure où l'opposition, qui n'a pas été formée dans le délai légal, n'est pas valable, le recourant ne peut remettre en cause l'ordonnance pénale à ce stade de la procédure.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440 fr. (art. 20 al. 1 TFJP [tarif des frais judiciaires pénaux; RSV 312.03.1]), seront mis à la charge du recourant, qui succombe (art. 428 al. 1 CPP). Par ces motifs, la Chambre des recours pénale, statuant à huis clos, prononce : I. Le recours est rejeté. II. Le prononcé est confirmé. III. Les frais de la procédure de recours, par 440 fr. (quatre cent quarante francs), sont mis à la charge de W.________. IV. L'arrêt est exécutoire. La vice-présidente : La greffière : Du L'arrêt qui précède, dont la rédaction a été approuvée à huis clos, est notifié, par l'envoi d'une copie complète, à : - M. W.________,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