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161 vom 25. Februar 2013</w:t>
      </w:r>
    </w:p>
    <w:p>
      <w:r>
        <w:t>VD Tribunal cantonal, 2013-02-25, FR</w:t>
      </w:r>
    </w:p>
    <w:p>
      <w:r>
        <w:rPr>
          <w:b/>
        </w:rPr>
        <w:t xml:space="preserve">Quelle: </w:t>
      </w:r>
      <w:r>
        <w:t>https://mcp.opencaselaw.ch/entscheid/vd_findinfo_D_cision___2013___161</w:t>
      </w:r>
    </w:p>
    <w:p>
      <w:r>
        <w:t>FR: VD_FINDINFO Décision / 2013 / 161 du 25 février 2013</w:t>
      </w:r>
    </w:p>
    <w:p>
      <w:r>
        <w:t>IT: VD_FINDINFO Décision / 2013 / 161 del 25 febbraio 2013</w:t>
      </w:r>
    </w:p>
    <w:p>
      <w:pPr>
        <w:pStyle w:val="Heading2"/>
      </w:pPr>
      <w:r>
        <w:t>Regeste</w:t>
      </w:r>
    </w:p>
    <w:p>
      <w:r>
        <w:t>LIBÉRATION CONDITIONNELLE | 86 al. 1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 l'autorité saisie l'ayant d'office fait suivre à l'autorité compétente en application de l'art. 91 al. 4 CPP -,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p. 203 et les arrêts cités; ATF 103 Ib 27, JT 1978 IV 70; ATF 124 IV 193 c. 3; ATF 125 IV 113).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 l'exécution des deux tiers de la peine prévue par l'art. 86 al. 1 CP sera réalisée le 9 mars 2013. Comme en a statué le premier juge, la question de la condition du bon comportement du recourant en détention souffre de rester indécise, le recours devant de toute façon être rejeté pour le motif déduit du pronostic sur le comportement futur du condamné. A cet égard, le Juge d'application des peines a considéré que le pronostic était défavorable dans la mesure où le recourant avait des antécédents pénaux particulièrement lourds, qu'à sa sortie de détention, il se retrouverait dans la même situation que celle qui prévalait lors des faits qui lui avaient valu ses nombreuses condamnations et qu'il s'opposait à son rapatriement. Le recourant est un multirécidiviste, sept inscriptions figurant à son casier judiciaire. Ses antécédents tendent à démontrer qu'il s'est installé durablement dans la délinquance. Il ne fait actuellement l'objet d'aucune condamnation dont la peine, encore exécutable, serait assortie d'un délai d'épreuve. Qui plus est, le recourant ne nourrit aucun projet concret et déclare expressément s'opposer à son rapatriement. L'intéressé, condamné à plusieurs reprises pour séjour illégal, est dépourvu de toute autorisation de séjour en Suisse. Rien ne permet, loin s'en faut, de tenir pour plausible qu'une telle autorisation puisse lui être accordée à l'avenir. Il a admis ne pas être titulaire d'un titre de séjour en Italie et rien ne laisse supposer qu'un tel titre pourrait lui être délivré. Plus encore, le rapport de la direction de la prison mentionne qu'il a le dessein de rester clandestinement en Suisse, même s'il a affirmé le contraire lors de son audition par le premier juge. L'intéressé a admis qu'il ne disposait pas des moyens de quitter la Suisse. Il apparaît dès lors que, s'il devait être libéré conditionnellement, le recourant ne pourrait vivre que d'expédients dans la clandestinité, quelles que soient ses autres intentions par ailleurs. Dès lors, il y a sérieusement lieu de craindre qu'une fois libéré, il ne commette de nouveaux crimes ou délits. Enfin, sachant que le recourant a expressément déclaré vouloir s'opposer à son rapatriement, il est illusoire de subordonner sa libération conditionnelle à une expulsion. Le pronostic sur le comportement futur du recourant étant ainsi clairement défavorable, c'est à bon droit que le juge d'application des peines lui a refusé la libération conditionnelle.</w:t>
      </w:r>
    </w:p>
    <w:p>
      <w:r>
        <w:rPr>
          <w:b/>
        </w:rPr>
        <w:t>E. 3</w:t>
      </w:r>
    </w:p>
    <w:p>
      <w:r>
        <w:t>En définitive, le recours, manifestement mal fondé, doit être rejeté sans autre échange d'écritures (art. 390 al. 2 CPP) et le jugement confirmé. Les frais de la procédure de recours, constitués en l'espèce de l'émolument d'arrêt, par 880 fr. (art. 20 al. 1 TFJP [Tarif des frais judiciaires pénaux du 28 septembre 2010, RSV 312.03.1]), sont mis à la charge du recourant, qui succombe (art. 428 al. 1 CPP). Par ces motifs, la Chambre des recours pénale, statuant à huis clos, prononce : I. Le recours est rejeté. II. Le jugement du 12 février 2013 est confirmé. III. Les frais de la procédure de recours, par 880 fr. (huit cent huitante francs), sont mis à la charge d'Y.________. IV. Le présent arrêt est exécutoire. Le vice-président : Le greffier : Du L'arrêt qui précède, dont la rédaction a été approuvée à huis clos, est notifié, par l'envoi d'une copie complète, à : - M. Y.________, - Ministère public central, et communiqué à : ‑ Mme la Juge d'application des peines, - Mme la Procureure du Ministère de l'arrondissement de Lausanne, - Office d'exécution des peines (Réf: OEP/PPL/85405/AVI/BD), - Service de la population, secteurs départs,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