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157 vom 8. November 2012</w:t>
      </w:r>
    </w:p>
    <w:p>
      <w:r>
        <w:t>VD Tribunal cantonal, 2012-11-08, FR</w:t>
      </w:r>
    </w:p>
    <w:p>
      <w:r>
        <w:rPr>
          <w:b/>
        </w:rPr>
        <w:t xml:space="preserve">Quelle: </w:t>
      </w:r>
      <w:r>
        <w:t>https://mcp.opencaselaw.ch/entscheid/vd_findinfo_D_cision___2013___157</w:t>
      </w:r>
    </w:p>
    <w:p>
      <w:r>
        <w:t>FR: VD_FINDINFO Décision / 2013 / 157 du 8 novembre 2012</w:t>
      </w:r>
    </w:p>
    <w:p>
      <w:r>
        <w:t>IT: VD_FINDINFO Décision / 2013 / 157 del 8 novembre 2012</w:t>
      </w:r>
    </w:p>
    <w:p>
      <w:pPr>
        <w:pStyle w:val="Heading2"/>
      </w:pPr>
      <w:r>
        <w:t>Regeste</w:t>
      </w:r>
    </w:p>
    <w:p>
      <w:r>
        <w:t>FAUX INTELLECTUEL DANS LES TITRES, CHANTAGE, ESCROQUERIE, CLASSEMENT DE LA PROCÉDURE | 146 CP, 156 CP, 251 CP, 310 CPP (CH), 393 al. 1 let. a CPP (CH)</w:t>
      </w:r>
    </w:p>
    <w:p>
      <w:pPr>
        <w:pStyle w:val="Heading2"/>
      </w:pPr>
      <w:r>
        <w:t>Erwägungen</w:t>
      </w:r>
    </w:p>
    <w:p>
      <w:r>
        <w:rPr>
          <w:b/>
        </w:rPr>
        <w:t>E. 1</w:t>
      </w:r>
    </w:p>
    <w:p>
      <w:r>
        <w:t>CPP). En l'espèce, le recours paraît tardif. Toutefois, sur la base du dossier, il n'est pas possible à l'autorité d'établir la date à laquelle la recourante a reçu l'ordonnance attaquée. Dans ces conditions, il y a lieu de considérer que le recours, qui a été déposé le 3 décembre 2012, l'a été en temps utile. Il convient dès lors d'entrer en matière sur le recours interjeté par P.________.</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Il suffit que l'un des éléments constitutifs de l'infraction ne soit manifestement pas réalisé (Cornu, op. cit., n. 8 ad art. 310 CPP).</w:t>
      </w:r>
    </w:p>
    <w:p>
      <w:r>
        <w:rPr>
          <w:b/>
        </w:rPr>
        <w:t>E. 3</w:t>
      </w:r>
    </w:p>
    <w:p>
      <w:r>
        <w:t>a) Aux termes de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 2a).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(Code des obligations; RS 220)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 2a; ATF 125 IV 273 c. 3a). Une facture mensongère, munie d'une quittance, n'est pas dotée, de par la loi, d'une garantie objective suffisante pour nécessairement constituer un faux intellectuel dans les titres. Il faut encore examiner si un tel document ne possède pas, selon les circonstances, une valeur de preuve accrue, notamment en raison de la personne qui l'a établi (ATF 121 IV 131 c. 2c; TF 6B_589/2009 du14 septembre 2009 c. 2.1.1; TF 6S.37/2007 du 19 avril 2007 c. 8.2.2). Celle-ci doit être dans une position analogue à celle d'un garant (ATF 120 IV 25 c. 3f). Selon le Tribunal fédéral, il y a faux dans les titres lorsqu'un médecin établit une feuille de maladie ou une facture mensongère et fait valoir pour lui ou son patient des prestations auprès d'une caisse-maladie, dès lors que ces documents émanent d'un professionnel qui bénéficie d'une position privilégiée et jouit de ce fait d'une confiance particulière (ATF 103 IV 178 c. 2c, JT 1978 IV 143; TF 6B_589/2009 du14 septembre 2009 c. 2.1.1; TF 6S.22/2007 du 4 mai 2007 c. 9.2; TF 6S.491/1999 du 23 septembre 1999 c. 7). b) En l'espèce, la recourante fait valoir que la facture de 1'500 fr. adressée par K.________ constitue un faux, dans la mesure où son contenu ne correspondrait pas à la réalité. Compte tenu de la jurisprudence précitée, on ne saurait toutefois considérer que la facture litigieuse constitue un titre au sens de l'art. 251 CP, dès lors qu'elle n'émane pas d'une personne ou d'un établissement qui jouit d'un confiance particulière. Il ne s'agissait clairement pas d'un document digne de confiance, pour lequel aucune vérification n'était nécessaire. La recourante elle-même souligne le fait que cette facture paraissait de visu suspecte. Au vu de ce qui précède, les conditions de l'infraction de faux dans les titres au sens de l'art. 251 CP ne sont manifestement pas réalisées.</w:t>
      </w:r>
    </w:p>
    <w:p>
      <w:r>
        <w:rPr>
          <w:b/>
        </w:rPr>
        <w:t>E. 4</w:t>
      </w:r>
    </w:p>
    <w:p>
      <w:r>
        <w:t>a) Aux termes de l'art. 156 CP, se rend coupable d'extorsion et de chantage celui qui, dans le dessein de se procurer ou de procurer à un tiers un enrichissement illégitime, aura déterminé une personne à des actes préjudiciables à ses intérêts pécuniaires ou à ceux d’un tiers, en usant de violence ou en la menaçant d’un dommage sérieux. Du point de vue objectif, l’infraction suppose un moyen de contrainte, soit l'usage de la violence ou la menace d'un dommage sérieux. Cette dernière vise un moyen de pression de nature psychologique (Corboz, Les infractions en droit suisse, vol. I, 3 e éd., Berne 2010, n. 11 ad art. 156 CP; Dupuis/Geller/Monnier/Moreillon/Piguet/Bettex/Stoll, Petit Commentaire, Code Pénal, Bâle 2012, n. 9 ad art. 156 CP). La notion est la même que celle qui figure à l’art. 181 CP, si bien qu’il faut s’y référer (TF 6B_47/2010 du 30 mars 2010 c. 2.2 et les références citées; Corboz, op. cit., n. 10 ad art. 156 CP). La menace d’un dommage sérieux implique que l’auteur fasse comprendre à la victime qu’il est en mesure de lui faire subir un préjudice conséquent. Peu importe qu’il ait l’intention, voire la capacité, de s’exécuter. Il suffit que la menace soit propre à entraver la liberté d’action d’une personne raisonnable placée dans la situation de la victime (TF 6B_47/2010, précité; TF 6P.5/2006 c. 4.2; Corboz, op. cit., n. 14 à 16 ad art. 156 CP). b) En l'espèce, il résulte de la plainte pénale que K.________ aurait menacé la recourante à plusieurs reprises de la poursuivre en justice, si elle ne s'acquittait pas de la facture. S'il est vrai qu'il s'agit d'un moyen de pression, ce comportement ne saurait toutefois être comparé à l'usage de la violence ou à la menace d'un dommage sérieux au sens de la disposition précitée. Par conséquent, l'infraction d'extorsion et chantage peut d'emblée être écartée. Pour le surplus, aucune autre infraction pénale ne saurait entrer en considération. Il résulte de ce qui précède que c'est à bon droit que le procureur a refusé d'entrer en matière sur la plainte de P.________, le litige entre les parties étant de nature exclusivement civile.</w:t>
      </w:r>
    </w:p>
    <w:p>
      <w:r>
        <w:rPr>
          <w:b/>
        </w:rPr>
        <w:t>E. 5</w:t>
      </w:r>
    </w:p>
    <w:p>
      <w:r>
        <w:t>En définitive, le recours doit être rejeté et l'ordonnance attaquée confirmée. Les frais de la procédure de recours, constitués en l’espèce de l’émolument d'arrêt, par 880 fr. (art. 20 al. 1 TFJP [tarif des frais judiciaires pénaux; RSV 312.03.1]), seront mis à la charge de la recourante, qui succombe (art. 428 al. 1 CPP). Par ces motifs, la Chambre des recours pénale, statuant à huis clos, prononce : I. Le recours est rejeté. II. L'ordonnance attaquée est confirmée. III. Les frais de la procédure de recours, par 880 fr. (huit cent huitante francs), sont mis à la charge de P.________. IV. Le présent arrêt est exécutoire. Le vice-président : La greffière : Du L'arrêt qui précède, dont la rédaction a été approuvée à huis clos, est notifié, par l'envoi d'une copie complète, à : - Mme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