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156 vom 13. Dezember 2012</w:t>
      </w:r>
    </w:p>
    <w:p>
      <w:r>
        <w:t>VD Tribunal cantonal, 2012-12-13, FR</w:t>
      </w:r>
    </w:p>
    <w:p>
      <w:r>
        <w:rPr>
          <w:b/>
        </w:rPr>
        <w:t xml:space="preserve">Quelle: </w:t>
      </w:r>
      <w:r>
        <w:t>https://mcp.opencaselaw.ch/entscheid/vd_findinfo_D_cision___2013___156</w:t>
      </w:r>
    </w:p>
    <w:p>
      <w:r>
        <w:t>FR: VD_FINDINFO Décision / 2013 / 156 du 13 décembre 2012</w:t>
      </w:r>
    </w:p>
    <w:p>
      <w:r>
        <w:t>IT: VD_FINDINFO Décision / 2013 / 156 del 13 dicembre 2012</w:t>
      </w:r>
    </w:p>
    <w:p>
      <w:pPr>
        <w:pStyle w:val="Heading2"/>
      </w:pPr>
      <w:r>
        <w:t>Regeste</w:t>
      </w:r>
    </w:p>
    <w:p>
      <w:r>
        <w:t>RISQUE DE FUITE, RISQUE DE COLLUSION, PROPORTIONNALITÉ | 221 al. 1 let. a CPP (CH), 221 al. 1 let. b CPP (CH), 227 CPP (CH)</w:t>
      </w:r>
    </w:p>
    <w:p>
      <w:pPr>
        <w:pStyle w:val="Heading2"/>
      </w:pPr>
      <w:r>
        <w:t>Erwägungen</w:t>
      </w:r>
    </w:p>
    <w:p>
      <w:r>
        <w:rPr>
          <w:b/>
        </w:rPr>
        <w:t>E. 1</w:t>
      </w:r>
    </w:p>
    <w:p>
      <w:r>
        <w:t>a)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en temps utile devant l’autorité compétente et satisfait aux conditions de forme posées par l’art. 385 al. 1 CPP.</w:t>
      </w:r>
    </w:p>
    <w:p>
      <w:r>
        <w:rPr>
          <w:b/>
        </w:rPr>
        <w:t>E. 2</w:t>
      </w:r>
    </w:p>
    <w:p>
      <w:r>
        <w:t>Concernant tout d'abord le grief du recourant relatif à l'absence de motivation de l'ordonnance de prolongation de la détention provisoire, on soulignera que, selon le Tribunal fédéral, le fait que le premier juge renvoie aux motifs exposés à l'appui de sa précédente ordonnance ne viole pas le droit du recourant à une décision motivée ( TF 1P.465/2005 du 30 août 2005 c. 5 ; ATF 123 I 31 c. 2c). Le Tribunal des mesures de contrainte n'a donc pas violé l'art. 80 CPP en se référant intégralement aux arguments développés dans son ordonnance du 13 décembre 2012. Aussi, le grief de l'absence de motivation, mal fondé, doit-il être rejeté.</w:t>
      </w:r>
    </w:p>
    <w:p>
      <w:r>
        <w:rPr>
          <w:b/>
        </w:rPr>
        <w:t>E. 3</w:t>
      </w:r>
    </w:p>
    <w:p>
      <w:r>
        <w:t>a)               Selon l’art. 221 al. 1 CPP, la détention provisoire ne peut être ordonnée – respectivement prolongée –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cependant pas durer plus longtemps que la peine privative de liberté prévisible (art. 212 al. 3 CPP). b) Le recourant ne conteste pas, à juste titre, qu'il existe des indices sérieux de culpabilité susceptibles de justifier son maintien en détention provisoire. A cet égard, on relèvera en particulier que le recourant a reconnu être impliqué dans non moins de quatre ou cinq cambriolages (PV aud. 12, réponse 22), notamment les cambriolages du magasin Denner d'Oron-la-Ville le 9 décembre 2012 (PV aud. 12, réponse 8 i.f.), de la Coop de l'Avenue de la Harpe le 22 septembre 2012 (PV aud. 12, réponse 13), de la Coop du Chemin d'Entrebois à une date indéterminée (PV aud. 12, réponse 17) et d'un magasin sis à la rue de Genève 77 (PV aud. 12, réponse 18). Enfin, il a reconnu être entré sans droit dans une cave à Pully, même s'il a contesté y avoir dérobé des bouteilles de vin (PV aud. 12, réponse 12). Au vu de ces éléments, les soupçons qui pèsent sur X.________ sont suffisants pour justifier son maintien en détention provisoire. c) Pour le surplus, la décision entreprise se fonde sur les risques de fuite et de collusion. S'agissant d'un prévenu de nationalité roumaine, sans aucune attache avec la Suisse et ayant lui-même admis ne jamais rester dans notre pays plus d'un mois (PV aud. 12, réponse 13), il existe un risque concret que X.________ tente de se soustraire aux poursuites pénales en cas de libération. Au vu de ces éléments, le risque de fuite apparaît non seulement possible, mais également probable (TF 1B_414/2011 du 5 septembre 2011 c. 3.1). De surcroît, l'un des comparses de X.________, le dénommé "Metaxa" (PV aud. 12, réponses 12, 17 et 21), n'a pas encore pu être identifié à ce jour et des examens rétroactifs des téléphones mobiles des prévenus sont en cours. Ces mesures d’instruction apparaissent nécessaires pour permettre d’établir la nature et l’étendue de l’activité délictueuse du prévenu et il importe que celui-ci ne puisse interférer dans leur bon déroulement, notamment en communiquant avec ses éventuels comparses. Le maintien de X.________ en détention est donc également justifié au regard du risque de collusion. L'affirmation des risques de fuite et de collusion dispense d'examiner s'il existe également un risque de réitération au sens de l'art. 221 al. 1 let. c CPP (TF 1B_249/2011 du 7 juin 2011 c. 2.4). d)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X.________ est détenu depuis le 10 décembre 2012, soit depuis moins de trois mois. Il est mis en cause pour vol, dommages à la propriété, violation de domicile et recel. Compte tenu du butin qui aurait été obtenu illégalement, soit plusieurs milliers de francs, de la fréquence de l'activité délictueuse, de l'absence d'autre sources de revenu et du mode opératoire, il n'est pas exclu que les circonstances aggravantes de la bande et/ou du métier puissent être retenues à l'encontre du recourant (art. 139 al. 2 CP), étant rappelé qu'il reviendra au juge du fond d'apprécier cette question (ATF 137 IV 122 c. 3.2). A ce stade, la durée de la détention est donc encore largement compatible avec la peine concrètement encourue par le prévenu en cas de condamnation. Il s'ensuit que le moyen tiré de la violation du principe de proportionnalité est mal fondé. Enfin, aucune mesure de substitution n'apparaît susceptible de prévenir les risques de fuite et de collusion retenus.</w:t>
      </w:r>
    </w:p>
    <w:p>
      <w:r>
        <w:rPr>
          <w:b/>
        </w:rPr>
        <w:t>E. 4</w:t>
      </w:r>
    </w:p>
    <w:p>
      <w:r>
        <w:t>Il résulte de ce qui précède que le recours, manifestement mal fondé, doit être rejeté. Les frais de la procédure de recours, constitués en l’espèce de l’émolument d'arrêt, par 770 fr. (art. 20 al. 1 TFJP [tarif des frais judiciaires pénaux; RSV 312.03.1]) et des frais imputables à la défense d’office (art. 422 al. 1 et 2 let. a CPP), fixés à 180 fr., plus la TVA par 14 fr. 40, soit un total de 194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194 fr. 40 (cent nonante-quatre francs et quarante centimes), TVA comprise. IV. Les frais du présent arrêt, par 770 fr. (sept cent septante francs), ainsi que l'indemnité due au défenseur d'office de X.________, par 194 fr. 40 (cent nonante-quatre francs et quarante centimes), sont mis à la charge de celui-ci. V. Le remboursement à l'Etat de l'indemnité allouée au chiffre III. ci-dessus sera exigible pour autant que la situation économique de X.________ se soit améliorée. VI. Le présent arrêt est exécutoire. Le vice-président : La greffière : Du L'arrêt qui précède, dont la rédaction a été approuvée à huis clos, est notifié, par l'envoi d'une copie complète, à : - M. Alexandre Curchod, avocat (pour X.________),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