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139 vom 25. April 2012</w:t>
      </w:r>
    </w:p>
    <w:p>
      <w:r>
        <w:t>VD Tribunal cantonal, 2012-04-25, FR</w:t>
      </w:r>
    </w:p>
    <w:p>
      <w:r>
        <w:rPr>
          <w:b/>
        </w:rPr>
        <w:t xml:space="preserve">Quelle: </w:t>
      </w:r>
      <w:r>
        <w:t>https://mcp.opencaselaw.ch/entscheid/vd_findinfo_D_cision___2013___139</w:t>
      </w:r>
    </w:p>
    <w:p>
      <w:r>
        <w:t>FR: VD_FINDINFO Décision / 2013 / 139 du 25 avril 2012</w:t>
      </w:r>
    </w:p>
    <w:p>
      <w:r>
        <w:t>IT: VD_FINDINFO Décision / 2013 / 139 del 25 aprile 2012</w:t>
      </w:r>
    </w:p>
    <w:p>
      <w:pPr>
        <w:pStyle w:val="Heading2"/>
      </w:pPr>
      <w:r>
        <w:t>Regeste</w:t>
      </w:r>
    </w:p>
    <w:p>
      <w:r>
        <w:t>DÉTENTION PRÉVENTIVE, RISQUE DE RÉCIDIVE, RISQUE DE FUITE, PROPORTIONNALITÉ | 221 CPP (CH), 229 CPP (CH)</w:t>
      </w:r>
    </w:p>
    <w:p>
      <w:pPr>
        <w:pStyle w:val="Heading2"/>
      </w:pPr>
      <w:r>
        <w:t>Erwägungen</w:t>
      </w:r>
    </w:p>
    <w:p>
      <w:r>
        <w:rPr>
          <w:b/>
        </w:rPr>
        <w:t>E. 5</w:t>
      </w:r>
    </w:p>
    <w:p>
      <w:r>
        <w:t>par. 3 CEDH, ne devrait pas excéder quelques semaines, voire quelques mois (TF 1B_684/2011 du 21 décembre 2011 c. 3.1 ; cf. TF 1B_419/2011 du 13 septembre 2011 c. 2.1 pour les durées jugées conformes au principe de la célérité ; TF 1B_418/2011 du 13 septembre 2011 c. 6.1 ; TF 1B_69/2011 du 4 mars 2011 c. 5.1 ; TF 1P.540/2002 du 4 novembre 2002 c. 4.3, ad TACC 20 septembre 2002/549), qu'en l'espèce, les débats ont été fixés aux 3 et 4 avril 2013, que le Tribunal des mesures de contrainte a initialement ordonné la détention pour des motifs de sûreté du recourant pour une durée maximale de deux mois, soit jusqu’au 21 février 2013, que le Président du Tribunal correctionnel de l’arrondissement de Lausanne a requis la prolongation de la détention pour des motifs de sûreté jusqu’aux débats, soit jusqu’au 4 avril 2013, que la cour de céans, dans son arrêt du 24 janvier 2013, avait déjà jugé qu’une telle demande était conforme aux exigences de la jurisprudence précitée, sous l'angle du principe de la célérité ;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180 fr., plus la TVA, par 14 fr. 40, soit un total de 194 fr. 40, seront mis à la charge du recourant, qui succombe (art. 428 al. 1 CPP), que le remboursement à l’Etat de l’indemnité allouée au défenseur d’office d’H.________ ne sera toutefois exigible que pour autant que la situation économique de ce dernier se soit améliorée (art. 135 al. 4 CPP). Par ces motifs, la Chambre des recours pénale, statuant à huis clos : I. Rejette le recours. II. Confirme l’ordonnance. III. Fixe à 194 fr. 40 (cent nonante-quatre francs quarante) l'indemnité allouée au défenseur d'office d’H.________. IV. Dit que les frais d'arrêt, par 770 fr. (sept cent septante francs), ainsi que l'indemnité due au défenseur d'office d’H.________, par 194 fr. 40 (cent nonante-quatre francs quarante), sont mis à la charge de ce dernier. V. Dit que le remboursement à l'Etat de l'indemnité allouée au chiffre III ci-dessus sera exigible pour autant que la situation économique d’H.________ se soit améliorée. VI. Déclare le présent arrêt exécutoire. Le vice-président : La greffière : Du L'arrêt qui précède, dont la rédaction a été approuvée à huis clos, est notifié, par l'envoi d'une copie complète, à : - Mme Kathrin Gruber, avocate (pour H.________), - Ministère public central, et communiqué à : - M. Nader Ghosn, avocat (pour L.________), - M. Bertrand Demierre, avocat (pour A.D.________), - M. B.D.________, - M. le Président du Tribunal des mesures de contrainte, - M. le Président du Tribunal correctionnel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