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121 vom 4. Mai 2006</w:t>
      </w:r>
    </w:p>
    <w:p>
      <w:r>
        <w:t>VD Tribunal cantonal, 2006-05-04, FR</w:t>
      </w:r>
    </w:p>
    <w:p>
      <w:r>
        <w:rPr>
          <w:b/>
        </w:rPr>
        <w:t xml:space="preserve">Quelle: </w:t>
      </w:r>
      <w:r>
        <w:t>https://mcp.opencaselaw.ch/entscheid/vd_findinfo_D_cision___2013___121</w:t>
      </w:r>
    </w:p>
    <w:p>
      <w:r>
        <w:t>FR: VD_FINDINFO Décision / 2013 / 121 du 4 mai 2006</w:t>
      </w:r>
    </w:p>
    <w:p>
      <w:r>
        <w:t>IT: VD_FINDINFO Décision / 2013 / 121 del 4 maggio 2006</w:t>
      </w:r>
    </w:p>
    <w:p>
      <w:pPr>
        <w:pStyle w:val="Heading2"/>
      </w:pPr>
      <w:r>
        <w:t>Regeste</w:t>
      </w:r>
    </w:p>
    <w:p>
      <w:r>
        <w:t>INTERNEMENT{DROIT PÉNAL}, MESURE THÉRAPEUTIQUE INSTITUTIONNELLE | 59 CP, 64a CP, 64b CP, 65 CP, 363 CPP (CH), 393 al. 1 let. b CPP (CH)</w:t>
      </w:r>
    </w:p>
    <w:p>
      <w:pPr>
        <w:pStyle w:val="Heading2"/>
      </w:pPr>
      <w:r>
        <w:t>Erwägungen</w:t>
      </w:r>
    </w:p>
    <w:p>
      <w:r>
        <w:rPr>
          <w:b/>
        </w:rPr>
        <w:t>E. 1.1</w:t>
      </w:r>
    </w:p>
    <w:p>
      <w:r>
        <w:t>Les décisions ordonnant ou renonçant à ordonner un changement de sanction – notamment la levée d'un internement au profit d'une mesure thérapeutique institutionnelle – au sens de l’art. 65 CP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Kuhn/Jeanneret, (éd.), Commentaire romand, Code de procédure pénale suisse, Bâle 2011, n. 10 ad art. 363 CPP; Kistler Vianin, in Kuhn/Jeanneret , op. cit., n. 9 ad art. 398 CPP et n. 36 ad art. 399 CPP). Seule la voie du recours (art. 393 ss CPP) est donc ouverte.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bien que les voies de droit indiquées dans le courrier du 5 décembre 2012 par le Tribunal d'arrondissement fussent erronées (P. 43/3/1), Q.________ a déposé en temps utile, soit 10 jours après la notification de la décision motivée, son appel, subsidiairement son recours, contre la décision du 21 novembre 2012. Il y a donc lieu d'entrer en matière sur son recours, qui doit être considéré comme ayant été interjeté en temps utile, par une partie ayant qualité pour recourir et qui satisfait aux conditions de forme posées par l'art. 385 al. 1 CPP.</w:t>
      </w:r>
    </w:p>
    <w:p>
      <w:r>
        <w:rPr>
          <w:b/>
        </w:rPr>
        <w:t>E. 2</w:t>
      </w:r>
    </w:p>
    <w:p>
      <w:r>
        <w:t>LEP [loi cantonale du 4 juillet 2006 sur l’exécution des condamnations pénales; RSV 340.01]) – examine une fois tous les deux ans et pour la première fois avant le début de l'internement, si les conditions d'un traitement thérapeutique institutionnel sont réunies. Si tel est le cas, le Collège des Juges d'application des peines dépose une demande en vue de la transformation de la sanction auprès du juge compétent selon l'art. 65 al. 1 CP. En effet, seul le juge qui a prononcé la peine ou ordonné l'internement est compétent pour prononcer le changement ultérieur de la sanction, car celui-ci constitue une ingérence dans le jugement exécutoire. Le Tribunal correctionnel de l'arrondissement de Lausanne était ainsi compétent pour statuer sur le changement de la sanction dès lors que par jugement du 5 mai 2006, il avait suspendu l'exécution de la peine de deux ans d'emprisonnement au profit d'un internement. Pour statuer sur la libération conditionnelle ou en vue d'un changement de sanction, l'autorité compétente s'entoure d'informations provenant de diverses sources :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 2 CP). Il appartient également à l'autorité chargée de statuer sur le changement de mesure, soit en l'espèce au Tribunal correctionnel, de s'appuyer sur ces pièces.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w:t>
      </w:r>
    </w:p>
    <w:p>
      <w:r>
        <w:rPr>
          <w:b/>
        </w:rPr>
        <w:t>E. 2.1</w:t>
      </w:r>
    </w:p>
    <w:p>
      <w:r>
        <w:t>Aux termes de l'art. 64b al. 1 let. b CP, l'autorité compétente – à savoir dans le canton de Vaud le Collège des Juges d'application des peines (art. 26 al. 1 let. a et al.</w:t>
      </w:r>
    </w:p>
    <w:p>
      <w:r>
        <w:rPr>
          <w:b/>
        </w:rPr>
        <w:t>E. 2.2.1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Outre l'existence d'un grave trouble mental en relation avec l'infraction commise, il faut examiner l'adéquation de la mesure. Comme l'énonce l'art. 59 al. 1 let. b CP, 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 (ATF 137 IV 201 c. 1.3, JT 2011 IV 395; ATF 134 IV 315 c. 3.6, JT 2009 IV 79;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JT 2009 IV 79; TF 6B_205/2012 du 27 juillet 2012, c. 3.2.1;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Heer, Strafrecht I, Basler Kommentar, Bâle 2007, 2 e éd., n. 78 ad art. 59 CP). Il suffit que l'intéressé puisse être motivé (« motivierbar »; TF 6B_784/2010 du 2 décembre 2010, c. 2.2.3).</w:t>
      </w:r>
    </w:p>
    <w:p>
      <w:r>
        <w:rPr>
          <w:b/>
        </w:rPr>
        <w:t>E. 2.2.2</w:t>
      </w:r>
    </w:p>
    <w:p>
      <w:r>
        <w:t>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6B_205/2012 du 27 juillet 2012, c. 3.2.2; TF 6B_384/2010 du 15 septembre 2010, c. 2.1.2; TF 6B_629/2009 du 21 décembre 2009, c.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(TF 6B_274/2012 du 31 août 2012, c. 2.1; TF 6B_205/2012 du 27 juillet 2012, c. 3.2.2; TF 6B_384/2010 du 15 septembre 2010, c. 2.1.2; TF 6B_629/2009 du 21 décembre 2009, c. 1.2.2.2).</w:t>
      </w:r>
    </w:p>
    <w:p>
      <w:r>
        <w:rPr>
          <w:b/>
        </w:rPr>
        <w:t>E. 2.2.3</w:t>
      </w:r>
    </w:p>
    <w:p>
      <w:r>
        <w:t>Face à un auteur dangereux souffrant d'un grave trouble mental, il convient d'examiner si une mesure au sens de l'art. 59 CP paraît judicieuse pour le détourner de nouvelles infractions. Une mesure thérapeutique institutionnelle peut aussi contribuer à garantir la sécurité publique de la même façon que l'internement, dans la mesure où elle peut être exécutée dans un établissement fermé ou dans un établissement pénitentiaire (art. 59 al. 3 CP; ATF 134 IV 315 c. 3.2, JT 2009 IV 79). Ainsi, même si l'auteur est dangereux au sens de l'art. 64 al. 1 er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c. 3.5, JT 2009 IV 79). Le fait que, s'il est interné, l'auteur sera soumis, si besoin est, à une prise en charge psychiatrique (art. 64 al. 4, 3 e phrase CP) ne constitue pas un argument contre le prononcé d'une mesure thérapeutique institutionnelle, car le traitement psychiatrique prévu à l'art. 64 al. 4, 3 e phrase CP se distingue du traitement thérapeutique au sens de l'art. 59 CP (cf. ci-dessus c. 2.2.1; ATF 134 IV 315 c. 3.6, JT 2009 IV 79).</w:t>
      </w:r>
    </w:p>
    <w:p>
      <w:r>
        <w:rPr>
          <w:b/>
        </w:rPr>
        <w:t>E. 2.2.4</w:t>
      </w:r>
    </w:p>
    <w:p>
      <w:r>
        <w:t>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ainsi être reconduite aussi souvent et aussi longtemps que son maintien s'avère nécessaire, approprié et proportionnel (ATF 137 IV 201 c. 1.4, JT 2011 IV 395; ATF 135 IV 139 c. 2; TF 6B_205/2012 du 27 juillet 2012, c. 3.2.4). Dans ce cadre, elle ne connaît pas de limite maximale. Cette prolongation est indiquée lors d'un traitement selon l'art. 59 al. 3 CP. Cette possibilité existe parce que les mesures thérapeutiques appliquées à des malades mentaux chroniques n'agissent souvent que très lentement (ATF 137 IV 201 c. 1.4, JT 2011 IV 395; ATF 134 IV 315 c. 3.4.1, JT 2009 IV 79).</w:t>
      </w:r>
    </w:p>
    <w:p>
      <w:r>
        <w:rPr>
          <w:b/>
        </w:rPr>
        <w:t>E. 2.2.5</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(cf. art. 62 c al. 1 let. a CP). Lorsqu'il n'y a plus lieu de s'attendre à une amélioration de l'état de l'auteur, l'autorité compétente doit lever la mesure, en prenant au besoin une ou plusieurs des dispositions prévues à l'art. 62c al. 3 à 6 CP (ATF 137 IV 201 c. 1.3, JT 2011 IV 395). Afin d'assurer la sécurité de la collectivité après la levée de la mesure, l'art. 62c al. 4 CP permet au juge de prononcer l'internement, à la double condition que la mesure de base ait été prononcée en raison d'une infraction prévue à l'art. 64 al. 1 CP et qu'il soit sérieusement à craindre que l'auteur ne commette une autre infraction mentionnée par cette dernière disposition (TF 6B_205/2012 du 27 juillet 2012, c. 3.2.5).</w:t>
      </w:r>
    </w:p>
    <w:p>
      <w:r>
        <w:rPr>
          <w:b/>
        </w:rPr>
        <w:t>E. 3</w:t>
      </w:r>
    </w:p>
    <w:p>
      <w:r>
        <w:t>En l'espèce, les premiers juges n'ont pas pris en compte l'ensemble des conclusions du dernier examen du recourant par les experts (P. 27). En effet, bien qu'un traitement adéquat n'ait pas encore été trouvé, les experts ont retenu qu'avec un traitement dans un cadre structurant, le risque de récidive pouvait être réduit de façon importante, sans qu'il puisse toutefois être annulé. Ainsi, la vraisemblance d'une réduction nette du risque de récidive va au-delà de la seule possibilité vague et est dès lors suffisante selon la jurisprudence. Il convient également de tenir compte des efforts fournis par Q.________, que tant la CIC que les experts ont soulignés. A cet égard, une bonne alliance a pu se construire peu à peu entre le recourant et les thérapeutes, ce qui rend possible des modifications thérapeutiques, par exemple pharmacologiques, éléments qui sont importants pour la suite de l'évolution. Une diminution des troubles comportementaux a également été relevée. Ces bénéfices s'expriment également en termes de diminution des comportements répréhensibles hétéro-agressifs. Le Dr [...] a préconisé une récompense pour les efforts fournis, en soulignant le fait qu'elle aurait un effet d'encouragement, tandis que le statu quo pourrait avoir un effet de découragement, ce que craignent les thérapeutes. En outre, selon les experts, une perspective de changement du cadre dans lequel s'exécute l'internement actuellement sous la forme d'un placement dans un établissement d'exécution de mesure peut avoir un effet bénéfique. Cette expérience a déjà été tentée en été 2011 quand Q.________ a séjourné à Belle-Idée et elle s'est avérée positive. Enfin, le traitement suivi par le recourant avec du Leponex, qui a dû être interrompu en raison d'effets secondaires somatiques graves, démontre qu'il est possible de trouver un traitement qui permette une amélioration psychique significative. Par conséquent, les conditions de l'art. 59 al. 1 CP étant réalisées, il y a lieu de lever l'internement au profit d'une mesure thérapeutique institutionnelle. Toutefois, un changement d'une telle ampleur doit être préparé et Q.________ doit bénéficier d'un suivi très attentif durant la période de changement, en raison du stress induit. Comme l'ont relevé les experts, tout élargissement de cadre devra se faire de manière très progressive et par étapes, dans un milieu suffisamment sécurisé. Le suivi devra continuer à être important et serré au vu de la symptomatologie du recourant. En outre, le risque de récidive demeure élevé à l'heure actuelle. Ainsi, dans un premier temps, il apparaît indiqué que la mesure thérapeutique soit exécutée dans un établissement pénitentiaire (cf. art. 59 al. 3, 2 e phrase CP). Au demeurant, si les conditions d'une libération conditionnelle ne sont pas réunies dans cinq ans, la mesure pourra être prolongée pour une nouvelle période de cinq ans (art. 59 al.</w:t>
      </w:r>
    </w:p>
    <w:p>
      <w:r>
        <w:rPr>
          <w:b/>
        </w:rPr>
        <w:t>E. 4</w:t>
      </w:r>
    </w:p>
    <w:p>
      <w:r>
        <w:t>En définitive, le recours doit être admis et la décision attaquée réformée dans le sens des considérants qui précèdent. Les frais de la procédure de recours, constitués en l'espèce de l'émolument d'arrêt, par 1'430 fr. (art. 20 al. 1 TFJP [Tarif des frais judiciaires pénaux du 28 septembre 2010; RSV 312.03.1]), et des frais imputables à la défense d'office (art. 422 al. 1 et 2 let. a CPP), arrêtés à 900 fr., plus la TVA par 72 fr., soit 972 fr., seront laissés à la charge de l'Etat. Par ces motifs, la Chambre des recours pénale, statuant à huis clos prononce: I. Le recours est admis. II. La décision du Tribunal correctionnel de l'arrondissement de Lausanne du 21 novembre 2012 est réformée en ce sens que la mesure d'internement prononcée à l'encontre de Q.________ est levée au profit d'une mesure thérapeutique institutionnelle au sens de l'art. 59 CP. III. L'indemnité due au défenseur d'office de Q.________ est fixée à 972 fr. (neuf cent septante-deux francs). IV. Les frais de la procédure de recours, par 1'430 fr. (mille quatre cent trente francs), ainsi que l'indemnité due au défenseur d'office de Q.________, par 972 fr. (neuf cent septante-deux francs), sont laissés à la charge de l'Etat. V. Le présent arrêt est exécutoire. Le vice-président : La greffière : Du L'arrêt qui précède, dont la rédaction a été approuvée à huis clos, est notifié, par l'envoi d'une copie complète, à : - M. Stéphane Ducret, avocat (pour Q.________), - Ministère public central, et communiqué à : ‑ M. le Président du Tribunal correctionnel de l'arrondissement de Lausanne, - Mme la Présidente du Collège des Juges d'application des peines,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