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120 vom 14. Februar 2013</w:t>
      </w:r>
    </w:p>
    <w:p>
      <w:r>
        <w:t>VD Tribunal cantonal, 2013-02-14, FR</w:t>
      </w:r>
    </w:p>
    <w:p>
      <w:r>
        <w:rPr>
          <w:b/>
        </w:rPr>
        <w:t xml:space="preserve">Quelle: </w:t>
      </w:r>
      <w:r>
        <w:t>https://mcp.opencaselaw.ch/entscheid/vd_findinfo_D_cision___2013___120</w:t>
      </w:r>
    </w:p>
    <w:p>
      <w:r>
        <w:t>FR: VD_FINDINFO Décision / 2013 / 120 du 14 février 2013</w:t>
      </w:r>
    </w:p>
    <w:p>
      <w:r>
        <w:t>IT: VD_FINDINFO Décision / 2013 / 120 del 14 febbraio 2013</w:t>
      </w:r>
    </w:p>
    <w:p>
      <w:pPr>
        <w:pStyle w:val="Heading2"/>
      </w:pPr>
      <w:r>
        <w:t>Regeste</w:t>
      </w:r>
    </w:p>
    <w:p>
      <w:r>
        <w:t>MESURE ANTICIPÉE D'EXÉCUTION PAR SUBSTITUTION | 237 CPP (CH)</w:t>
      </w:r>
    </w:p>
    <w:p>
      <w:pPr>
        <w:pStyle w:val="Heading2"/>
      </w:pPr>
      <w:r>
        <w:t>Erwägungen</w:t>
      </w:r>
    </w:p>
    <w:p>
      <w:r>
        <w:rPr>
          <w:b/>
        </w:rPr>
        <w:t>E. 1</w:t>
      </w:r>
    </w:p>
    <w:p>
      <w:r>
        <w:t>a) Aux termes de l’art. 393 al. 1 let. c CPP (Code de procédure pénale suisse du 5 octobre 2007 ; RS 312.0), le recours est recevable contre les décisions du tribunal des mesures de contrainte dans les cas prévus par le code. L’intéressé peut attaquer devant l’autorité de recours les décisions portant sur des mesures de substitution (cf. art. 237 al. 4 CPP qui renvoie à l’art. 222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 b) En l’espèce, il y a donc lieu d’entrer en matière sur le recours, qui a été interjeté en temps utile devant l’autorité compétente et qui satisfait aux conditions de forme posées par l’art. 385 al. 1 CPP.</w:t>
      </w:r>
    </w:p>
    <w:p>
      <w:r>
        <w:rPr>
          <w:b/>
        </w:rPr>
        <w:t>E. 2</w:t>
      </w:r>
    </w:p>
    <w:p>
      <w:r>
        <w:t>En vertu de l’art. 237 CPP, le tribunal compétent ordonne une ou plusieurs mesures moins sévères en lieu et place de la détention provisoire ou de la détention pour des motifs de sûreté si ces mesures permettent d’atteindre le même but que la détention. L’obligation de se soumettre à un traitement médical ou à des contrôles fait notamment partie des mesures de substitution (art. 237 al. 2 let. f CPP). Cette mesure est avant tout destinée aux prévenus souffrant de troubles psychiques ou de dépendance à une substance, telle que l’alcool ou la drogue. Elle peut prendre la forme d’un traitement ambulatoire ou d’une hospitalisation ; dans ce dernier cas, une exécution anticipée de la mesure, au sens de l’art. 236 CPP, permet d’arriver au même résultat (cf. Schmocker, in : Kuhn/Jeanneret [éd.], Code de procédure pénale suisse, Commentaire romand, Bâle 2011, n. 13 ad art. 237, pp. 1102-1103 ; Härri, in : Niggli/Heer/Wiprächtiger [éd.], Basler Kommentar, Schweizerische Strafprozessordnung, Jugendstrafprozessordnung, Bâle 2011, n. 24-25 ad art. 237, p. 1570).</w:t>
      </w:r>
    </w:p>
    <w:p>
      <w:r>
        <w:rPr>
          <w:b/>
        </w:rPr>
        <w:t>E. 3</w:t>
      </w:r>
    </w:p>
    <w:p>
      <w:r>
        <w:t>a) En l’espèce, il ressort du courrier du Foyer [...] du 24 janvier 2013 (cf. P. 22) que la thérapie telle qu’elle est dispensée dans cette institution s’articule en trois étapes, à savoir la première à court terme de trois à six mois, la deuxième à moyen terme de six à douze mois et la troisième à long terme de douze mois et plus. Des rapports sont adressés par l’institution à l’autorité judiciaire tous les trois mois. L’objectif de la cure est la réinsertion socio-professionnelle du résident. L’admission dans une telle institution se fait sur un mode volontaire. Des informations sont fournies au postulant quant aux organismes pouvant apporter une aide financière (cf. le site [...]). Le chiffre II du dispositif de l’ordonnance attaquée reflète donc la réalité lorsqu’il parle d’un traitement « sur un mode volontaire », quand bien même cette mention peut sembler contradictoire avec l’injonction faite au prévenu, au début du même chiffre, de se soumettre à un tel traitement. Par ailleurs, la mesure en question a été ordonnée expressément sur la base de l’art. 237 al. 1 et 2 let. f CPP, soit à titre de mesure de substitution. Partant, l’ordonnance du Tribunal des mesures de contrainte ne prête pas le flanc à la critique et doit être confirmée. b) Au surplus, s’agissant de la prise en charge financière du traitement de O.________, l’autorité de céans n’entrera pas en matière sur ce point, le Ministère public n’ayant pas rendu une décision formelle, mais une simple communication orale au conseil du recourant.</w:t>
      </w:r>
    </w:p>
    <w:p>
      <w:r>
        <w:rPr>
          <w:b/>
        </w:rPr>
        <w:t>E. 4</w:t>
      </w:r>
    </w:p>
    <w:p>
      <w:r>
        <w:t>Il résulte de ce qui précède que le recours, manifestement mal fondé, doit être rejeté dans la mesure où il est recevable, de sorte qu’il n’y pas lieu d’accorder d’indemnité au recourant. Les frais de la procédure de recours, constitués en l’espèce de l'émolument d'arrêt (art. 422 al. 1 CPP), par 660 fr. (art. 20 al. 1 TFJP [tarif des frais judiciaires pénaux ;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dans la mesure où il est recevable. II. Les ordonnances rendues par le Tribunal des mesures de contrainte les 5 et 7 février 2013 sont confirmées. III. L'indemnité allouée au défenseur d'office de O.________ est fixée à 583 fr. 20 (cinq cent huitante-trois francs et vingt centimes). IV. Les frais du présent arrêt, par 660 fr. (six cent soixante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de O.________ se soit améliorée. VI. Le présent arrêt est exécutoire. Le vice-président : La greffière : Du L'arrêt qui précède, dont la rédaction a été approuvée à huis clos, est notifié, par l'envoi d'une copie complète, à : - M. Mathias Keller, avocat (pour O.________),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