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119 vom 13. Februar 2013</w:t>
      </w:r>
    </w:p>
    <w:p>
      <w:r>
        <w:t>VD Tribunal cantonal, 2013-02-13, FR</w:t>
      </w:r>
    </w:p>
    <w:p>
      <w:r>
        <w:rPr>
          <w:b/>
        </w:rPr>
        <w:t xml:space="preserve">Quelle: </w:t>
      </w:r>
      <w:r>
        <w:t>https://mcp.opencaselaw.ch/entscheid/vd_findinfo_D_cision___2013___119</w:t>
      </w:r>
    </w:p>
    <w:p>
      <w:r>
        <w:t>FR: VD_FINDINFO Décision / 2013 / 119 du 13 février 2013</w:t>
      </w:r>
    </w:p>
    <w:p>
      <w:r>
        <w:t>IT: VD_FINDINFO Décision / 2013 / 119 del 13 febbraio 2013</w:t>
      </w:r>
    </w:p>
    <w:p>
      <w:pPr>
        <w:pStyle w:val="Heading2"/>
      </w:pPr>
      <w:r>
        <w:t>Regeste</w:t>
      </w:r>
    </w:p>
    <w:p>
      <w:r>
        <w:t>INDEMNITÉ{EN GÉNÉRAL}, INDEMNITÉ ÉQUITABLE, AVOCAT D'OFFICE | 135 al. 3 let. a CPP (CH), 395 let. b CPP (CH)</w:t>
      </w:r>
    </w:p>
    <w:p>
      <w:pPr>
        <w:pStyle w:val="Heading2"/>
      </w:pPr>
      <w:r>
        <w:t>Erwägungen</w:t>
      </w:r>
    </w:p>
    <w:p>
      <w:r>
        <w:rPr>
          <w:b/>
        </w:rPr>
        <w:t>E. 1</w:t>
      </w:r>
    </w:p>
    <w:p>
      <w:r>
        <w:t>a) L’indemnité due au défenseur d’office du prévenu (art. 132 ss CPP [Code de procédure pénale suisse du 5 octobre 2007; RS 312.0]) est fixée à la fin de la procédure par le Ministère public ou par le Tribunal qui statue au fond (art. 135 al. 2 CPP). Le défenseur d’office peut recourir devant l’autorité de recours (art. 20 CPP) contre la décision du Ministère public ou du Tribunal de première instance fixant son indemnité (art. 135 al. 3 let. a CPP; Ruckstuhl, in: Niggli/Heer/Wiprächtiger (éd.), Basler Kommentar, Schweizerische Strafprozes-sordnung, Jugendstrafprozessordnung, Bâle 2011, n. 15 ad art. 135 CPP; Harari/Aliberti, in: Kuhn/Jeanneret (éd.), Commentaire romand, Code de procédure pénale suisse, Bâle 2011, n. 30 ad art. 135 CPP). Le recours doit être adressé par écrit, dans un délai de dix jours dès la notification de la décision attaquée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G.________ qui a qualité pour recourir contre la décision fixant son indemnité. Il convient donc d’entrer en matière sur le recours.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Aux termes de l'art. 13 al. 2 LVCPP, un juge de la Chambre des recours pénale est compétent pour statuer sur les recours en tant que juge unique dans les cas prévus à l'art. 395 CPP. L’indemnité due au défenseur d'office entre dans la notion de conséquences économiques d'une décision (Rémy, in: Kuhn/Jeanneret (éd.), op. cit., n. 2 ad art. 395 CPP; Schmid, Handbuch des schweizerischen Strafprozessrechts, 2009, n. 1521; Stephenson/Thiriet, in : Niggli/Heer/Wiprächtiger (éd.), op. cit., n. 5 ad art. 395 CPP; Message du Conseil fédéral relatif à l’unification du droit de la procédure pénale du 21 décembre 2005, FF 2006 p. 1057 ss, spéc. p. 1297). Le montant litigieux, qui détermine s’il appartient à la Chambre des recours pénale en corps ou à un juge de statuer sur le recours (cf. c. 1b supra), correspond à la différence entre le montant réclamé par le défenseur d’office et la somme allouée par la décision attaquée (Stephenson/Thiriet, op. cit., n. 6 ad art. 395 CPP). En l'occurrence, le montant réclamé par le recourant s'élève à 3'108 fr. 25, TVA comprise, et celui qui a été alloué par ordonnance du 31 janvier 2013 à 1'626 fr. 50, TVA comprise. Ainsi, le montant litigieux s'élève à 1'481 fr. 75, de sorte que le recours relève de la compétence d'un juge unique de la Chambre des recours pénale.</w:t>
      </w:r>
    </w:p>
    <w:p>
      <w:r>
        <w:rPr>
          <w:b/>
        </w:rPr>
        <w:t>E. 2</w:t>
      </w:r>
    </w:p>
    <w:p>
      <w:r>
        <w:t>a) Selon l’art. 135 al. 1 CPP, le défenseur d’office est indemnisé conformément au tarif des avocats de la Confédération ou du canton du for du procès.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TF 6B_273/2009 du 2 juillet 2009 c. 2.1; TF 6B_102/2009 du 14 avril 2009 c. 2; TF 6B_960/2008 du 22 janvier 2009 c. 1.1; TF 6B_947/2008 du 16 janvier 2009 c. 2). A condition d'être équitable, il est admis que la rémunération de l'avocat d'office puisse être inférieure à celle du mandataire choisi (arrêts précités). Elle doit non seulement couvrir les frais généraux de l'avocat, mais aussi lui permettre de réaliser un gain modeste et non seulement symbolique (ATF 132 I 201 c. 8.6). Dans le Canton de Vaud, l'indemnité horaire de l’avocat d’office breveté est usuellement fixée à 180 fr., TVA en sus, et celle de l’avocat-stagiaire à 110 fr. (ATF 132 I 201; TF 6B_273/2009 du 2 juillet 2009 c. 2.1; art. 2 al. 1 du règlement sur l’assistance judiciaire en matière civile [RAJ; RSV 211.02.3] et ATF 137 III 185).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 3b). b) A l'appui de ses conclusions, le recourant a produit un relevé de ses opérations (P. 45/2, n° 3), lequel décrit sommairement celles-ci et chiffre le temps consacré à chacune d'entre elles. L'avocat allègue avoir consacré à ce dossier un nombre total d'heures équivalent à 16h25, lui-même ayant effectué près de 14 heures et 45 minutes alors qu'un avocat stagiaire y a consacré un peu moins de deux heures. Le recourant soutient que chaque opération effectuée a été utile et nécessaire à la défense des intérêts de son client et que le Parquet a retranché près de la moitié des heures indiquées sans toutefois en expliquer la raison. Il est vrai que la décision attaquée n'est absolument pas motivée, le Ministère public n'indiquant ni le nombre d'heures pris en considération, ni les opérations figurant dans le relevé fourni par le recourant qu'il n'a pas retenues, les jugeant inutiles ou dont la durée d'exécution indiquée aurait été, selon lui, surévaluée. Ce vice est toutefois réparable sur la base des pièces du dossier. On relève que le client du recourant a été condamné pour avoir tenté de voler par effraction le contenu d'une caisse automatique se trouvant dans le parking Migros à Cossonay en compagnie de trois comparses, dont deux ont été interpellés avec lui le 27 novembre 2012 et que les prévenus ont admis les faits. Partant, la cause ne présentait pas de grandes difficultés ni en fait ni en droit. Dans ces conditions, le temps consacré uniquement à l'étude du dossier (1 heure et 36 minutes selon le recourant) est excessif compte tenu de la simplicité et du volume très réduit de la procédure, l'avocat stagiaire ayant de surcroît indiqué avoir consacré 1 heure et 30 minutes à l'examen du dossier et à la rédaction d'un projet de demande de mise en liberté du prévenu. A titre de comparaison, le conseil d'office d'un co-prévenu a indiqué avoir consacré un total de 5 heures et 15 minutes à son mandat, ce qui représente seulement le tiers environ du temps total allégué par le recourant. Il a notamment consacré 1 heure et 45 minutes à la rédaction de divers courriers qu'il a adressés au Ministère public, à son client, au Tribunal de première instance. Le recourant indique, quant à lui, avoir consacré 3 heures et 15 minutes à la rédaction des divers courriers qu'il a rédigés dans le cadre de ce mandat. Compte tenu de ce qui précède, le décompte informatique fourni par le recourant est à l'évidence surévalué. Ainsi, on ne saurait considérer que le Ministère public a abusé de son pouvoir d'appréciation, en fixant l'indemnité due à l'avocat P.________ à 1'506 fr., ce qui correspond à environ 8 heures de travail, auxquels s'ajoute la TVA, par 120 fr. 50.</w:t>
      </w:r>
    </w:p>
    <w:p>
      <w:r>
        <w:rPr>
          <w:b/>
        </w:rPr>
        <w:t>E. 3</w:t>
      </w:r>
    </w:p>
    <w:p>
      <w:r>
        <w:t>En définitive, le recours, mal fondé, doit être rejeté. Les frais de la procédure de recours, constitués du seul émolument d'arrêt (art. 422 al. 1 CPP), par 540 fr. (art. 20 al. 1 TFJP [tarif des frais judiciaires pénaux; RSV 312.03.1]), sont mis à la charge de P.________ qui succombe (art. 428 al. 1 CPP). Par ces motifs, le Juge de la Chambre des recours pénale, statuant à huis clos, prononce : I. Le recours est rejeté. II. La décision fixant à 1'626 fr. 50 l'indemnité due à Me P.________ en sa qualité de défenseur d'office de G.________ est confirmée. III. Les frais de la procédure de recours, par 540 fr. (cinq cent quarante francs), sont mis à la charge de P.________. IV. Le présent arrêt est exécutoire. Le juge :               La greffière : Du L'arrêt qui précède, dont la rédaction a été approuvée à huis clos, est notifié, par l'envoi d'une copie complète, à : - M. P.________,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