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1077 vom 6. Dezember 2013</w:t>
      </w:r>
    </w:p>
    <w:p>
      <w:r>
        <w:t>VD Tribunal cantonal, 2013-12-06, FR</w:t>
      </w:r>
    </w:p>
    <w:p>
      <w:r>
        <w:rPr>
          <w:b/>
        </w:rPr>
        <w:t xml:space="preserve">Quelle: </w:t>
      </w:r>
      <w:r>
        <w:t>https://mcp.opencaselaw.ch/entscheid/vd_findinfo_D_cision___2013___1077</w:t>
      </w:r>
    </w:p>
    <w:p>
      <w:r>
        <w:t>FR: VD_FINDINFO Décision / 2013 / 1077 du 6 décembre 2013</w:t>
      </w:r>
    </w:p>
    <w:p>
      <w:r>
        <w:t>IT: VD_FINDINFO Décision / 2013 / 1077 del 6 dicembre 2013</w:t>
      </w:r>
    </w:p>
    <w:p>
      <w:pPr>
        <w:pStyle w:val="Heading2"/>
      </w:pPr>
      <w:r>
        <w:t>Regeste</w:t>
      </w:r>
    </w:p>
    <w:p>
      <w:r>
        <w:t>DÉCISION D'IRRECEVABILITÉ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En l'espèce, il ressort du dossier qu’il n’existe pas le moindre indice d’un comportement pénalement répréhensible de la part du Procureur X.________ et du policier W.________. Contrairement à ce qu'affirme la recourante, le fait qu'elle perçoive une rente entière de l'assurance invalidité ne signifiait pas pour autant qu'elle ne pouvait pas se présenter à l'audience fixée par le Procureur. L'art. 205 al. 2 CPP précise en effet que celui qui est empêché de donner suite à un mandat de comparution doit en informer sans délai l'autorité qui l'a décerné; il doit lui indiquer les motifs de son empêchement et lui présenter les pièces justificatives éventuelles. Ainsi, la recourante devait produire un certificat médical pour obtenir une dispense de comparution, ce qu'elle n’a fait que le</w:t>
      </w:r>
    </w:p>
    <w:p>
      <w:r>
        <w:rPr>
          <w:b/>
        </w:rPr>
        <w:t>E. 4</w:t>
      </w:r>
    </w:p>
    <w:p>
      <w:r>
        <w:t>septembre 2013. A réception de ce certificat, le Procureur l’a, à juste titre, dispensée de comparution par courrier du 6 septembre 2013. Le comportement du Procureur n’a donc absolument rien de répréhensible. En outre, comme le relève à bon droit le Procureur général, rien au dossier ne permet d'affirmer que le policier W.________ connaissait l'état de santé de la recourante et l'existence d'un certificat médical lorsqu’il l’a convoquée à une nouvelle audition. Au vu de ce qui précède, les éléments constitutifs d'une infraction pénale ne sont manifestement pas réunis. La décision du Procureur général de ne pas entrer en matière sur les plaintes pénales de T.________ échappe donc à la critique. 3. En définitive, le recours, manifestement mal fondé, doit être rejeté sans autre échange d'écritures (art. 390 al. 2 CPP). Quand bien même l’indigence de la recourante est incontestable, la requête tendant à l’octroi de l'assistance judiciaire gratuite pour la procédure de recours doit être rejetée, dès lors que le recours apparaissait d’emblée dénué de chances de succès (cf. Ruckstuhl, in : Niggli/Heer/Wiprächtiger [éd.], Basler Kommentar, Schweizerische Strafprozessordnung, Jugendstrafprozessordnung, Bâle 2011, n. 10 ad art. 132 CPP; CREP 11 novembre 2013/673 c. 3; CREP 13 août 2013/505 c. 6; CREP 23 mai 2012/255 c. 4).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du 10 octobre 2013 est confirmée. III. La requête tendant à l’octroi de l’assistance judiciaire gratuite pour la procédure de recours est rejetée. IV. Les frais de la procédure de recours, par 550 fr. (cinq cent cinquante francs), sont mis à la charge de T.________. V. Le présent arrêt est exécutoire. Le président :               La greffière : Du L'arrêt qui précède, dont la rédaction a été approuvée à huis clos, est notifié, par l'envoi d'une copie complète, à : - Mme T.________,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