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1066 vom 24. Dezember 2013</w:t>
      </w:r>
    </w:p>
    <w:p>
      <w:r>
        <w:t>VD Tribunal cantonal, 2013-12-24, FR</w:t>
      </w:r>
    </w:p>
    <w:p>
      <w:r>
        <w:rPr>
          <w:b/>
        </w:rPr>
        <w:t xml:space="preserve">Quelle: </w:t>
      </w:r>
      <w:r>
        <w:t>https://mcp.opencaselaw.ch/entscheid/vd_findinfo_D_cision___2013___1066</w:t>
      </w:r>
    </w:p>
    <w:p>
      <w:r>
        <w:t>FR: VD_FINDINFO Décision / 2013 / 1066 du 24 décembre 2013</w:t>
      </w:r>
    </w:p>
    <w:p>
      <w:r>
        <w:t>IT: VD_FINDINFO Décision / 2013 / 1066 del 24 dicembre 2013</w:t>
      </w:r>
    </w:p>
    <w:p>
      <w:pPr>
        <w:pStyle w:val="Heading2"/>
      </w:pPr>
      <w:r>
        <w:t>Regeste</w:t>
      </w:r>
    </w:p>
    <w:p>
      <w:r>
        <w:t>DÉTENTION PRÉVENTIVE, RISQUE DE RÉCIDIVE | 221 al. 1 let. c CPP (CH)</w:t>
      </w:r>
    </w:p>
    <w:p>
      <w:pPr>
        <w:pStyle w:val="Heading2"/>
      </w:pPr>
      <w:r>
        <w:t>Erwägungen</w:t>
      </w:r>
    </w:p>
    <w:p>
      <w:r>
        <w:rPr>
          <w:b/>
        </w:rPr>
        <w:t>E. 1</w:t>
      </w:r>
    </w:p>
    <w:p>
      <w:r>
        <w:t>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donc lieu d’entrer en matière sur le recours, qui a été interjeté en temps utile par le détenu devant l’autorité compétente et satisfait aux conditions de forme posées par l’art. 385 al. 1 CPP bien que le mémoire ne précise pas si les conclusions prises le sont en annulation ou en modification de l’ordonnance attaquée.</w:t>
      </w:r>
    </w:p>
    <w:p>
      <w:r>
        <w:rPr>
          <w:b/>
        </w:rPr>
        <w:t>E. 2</w:t>
      </w:r>
    </w:p>
    <w:p>
      <w:r>
        <w:t>a) Selon l’art. 221 al. 1 CPP, la détention provisoire et la détention pour des motifs de sûreté – la première s’achevant, tandis que la seconde commence, lorsque l’acte d’accusation est notifié au tribunal de première instance (art. 220 al. 1 et 2 CPP) –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b)              La mise en détention provisoire n’est possible que s’il existe, préalablement à toute autre cause, de graves soupçons de culpabilité d’avoir commis un crime ou un délit à l’égard de l’auteur présumé (TF 1B_182/2011 du 5 mai 2011 c. 3.1; Schmocker, in : Kuhn/Jeanneret [éd.], Commentaire romand, Code de procédure pénale suisse, Bâle 2011, nn. 7 ss ad art. 221 CPP, pp. 1024 ss). L'intensité des charges propres à motiver un maintien en détention préventive n'est pas la même aux divers stades de l'instruction pénale. S i des soupçons, même encore peu précis, peuvent être suffisants dans les premiers temps de l'enquête, la perspective d'une condamnation doit apparaître vraisemblable après l'accomplissement des actes d'instruction envisageables (ATF 116 Ia 143 c. 3c; TF 1B_423/2010 du 17 janvier 2011 c. 4.1; Piquerez, Traité de procédure pénale suisse, 2 e éd., Zurich 2006, n. 845; Schmocker, op. cit., n. 8 ad art. 221 CPP, p. 1025; Forster, in : Niggli/Heer/Wiprächtiger [éd.], Basler Kommentar, Schweizerische Strafprozessordnung, 2011, n. 3 ad art. 221 CPP, pp. 1459 s.). Les autorités de recours appelées à se prononcer sur la légalité d'une décision de maintien en détention provisoire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 3.2; ATF 124 I 208 c. 3; ATF 116 Ia 413 c. 3c; TF 1B_423/2010 du 17 janvier 2011 c. 4.1; TF 1B_410/2010 du 23 décembre 2010 c. 4.1; Forster, op. cit., n.</w:t>
      </w:r>
    </w:p>
    <w:p>
      <w:r>
        <w:rPr>
          <w:b/>
        </w:rPr>
        <w:t>E. 3</w:t>
      </w:r>
    </w:p>
    <w:p>
      <w:r>
        <w:t>a)              En l’espèce, l'ordonnance entreprise admet dans son principe la requête de prolongation de la détention provisoire présentée par le Ministère public le 2 décembre 2013. A juste titre, le recourant ne conteste pas les soupçons qui pèsent sur lui, étant ajouté qu’il a été arrêté en flagrant délit. b)              Le recourant conteste d’abord l'existence d'un risque suffisant de réitération. Les antécédents du prévenu portent sur une infraction qui est en cause dans la présente enquête pénale, à savoir celle de lésions corporelles simples qualifiées. Cela étant, la condamnation réprimant cette infraction est déjà relativement ancienne et c’est surtout sur la base du comportement du prévenu que le premier juge a retenu un risque concret de réitération par renvoi aux motifs de l’ordonnance du 1 er novembre 2013. Il ressort des éléments recueillis à ce stade que le prévenu a interrompu un traitement psychotrope qui avait, durant une longue période, eu pour effet d’apaiser sa propension à la violence; il semble du reste que ce soit pour ce motif que l’intéressé n’avait pas attiré l’attention des autorités pénales depuis 2006. Les effets de l’abandon du traitement sont décrits par le patient lui-même, qui dit entendre des voix intérieures l’appelant à la violence, notamment contre des tiers, et qui tient un discours peu cohérent. De fait, les actes incriminés témoignent de l’imprévisibilité de l’intéressé, qui apparaît susceptible de se livrer à des infractions contre l’intégrité corporelle à la faveur du moindre prétexte, aussi futile soit-il, de surcroît en faisant usage d’un couteau. Le risque de réitération apparaît d'autant plus sérieux que le recourant consomme des stupéfiants et de l’alcool, comme lors des faits incriminés, et que ses hallucinations auditives sont de nature à le désinhiber. Les infractions dont la réitération peut être redoutée en l'espèce compromettent sérieusement la sécurité d’autrui au sens de l'art. 221 al. 1 let. c CPP (TF 1B_344/2012 du 19 juin 2012 c. 3.2). c)              Les conditions légales étant alternatives, et non cumulatives, point n’est besoin d’examiner les autres motifs légaux de la détention provisoire, s’agissant en particulier du risque de passage à l’acte au sens de l’art. 221 al. 2 CPP également invoqué par le Parquet dans sa requête du 2 décembre 2013 (TF 1B_249/2011 du 7 juin 2011 c. 2.4; Forster, op. cit., n. 4 ad art. 221 CPP, p. 1460). d)              Pour le reste, le principe de la proportionnalité est assurément respecté eu égard au rapport entre la durée de la détention provisoire déjà subie, respectivement à subir jusqu’au 13 mars 2014, et la quotité de la peine privative de liberté dont le prévenu paraît passible. En particulier, vu l'avancée de l'enquête, la durée présumable de la mise en œuvre de l’expertise psychiatrique et du dépôt du rapport n’y change rien (ATF 133 I 168 c. 4.1 et les arrêts cités; ATF 132 I 21 c. 4.1; TF 1B_411/2011 du 31 août 2011 c. 4.1). Des conclusions, à tout le moins orales, pourraient être données par les experts d’ici là. e)              Enfin, il apparaît en l’état qu’aucune mesure de substitution n'offre de garanties suffisantes, du moins tant que l’expertise psychiatrique prévue n’aura pas été déposée. En effet, comme l’a indiqué le premier juge dans son ordonnance du 1 er novembre 2013 déjà, aucune mesure de substitution ne saurait être ordonnée avant que l’autorité ne soit suffisamment informée quant à la nature et aux effets de l’affection psychiatrique du prévenu. De surcroît, à dire de médecin, seule une expertise est suffisante pour savoir si une hospitalisation est, le cas échéant, indiquée.</w:t>
      </w:r>
    </w:p>
    <w:p>
      <w:r>
        <w:rPr>
          <w:b/>
        </w:rPr>
        <w:t>E. 4</w:t>
      </w:r>
    </w:p>
    <w:p>
      <w:r>
        <w:t>Il résulte de ce qui précède que c’est à bon droit que le Tribunal des mesures de contrainte a estimé que les conditions de la détention provisoire du prévenu étaient réunies en l'état, ce jusqu’au terme prévu. Partant, le recours, manifestement mal fondé, doit être rejeté sans autres échanges d’écritures (art. 390 al. 2 CPP) et l’ordonnance attaquée confirmée. Les frais de la procédure de recours, constitués en l’espèce de l'émolument d'arrêt (art. 422 al. 1 CPP), par 990 fr. (art. 20 al. 1 TFJP [tarif des frais judiciaires pénaux; RSV 312.03.1]), et des frais imputables à la défense d’office (art. 422 al. 1 et 2 let. a CPP), fixés à 540 fr. plus la TVA, par 43 fr. 20, soit 583 fr. 20,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du 10 décembre 2013 est confirmée. III. L'indemnité allouée au défenseur d'office d’R.________ est fixée à 583 fr. 20 (cinq cent huitante-trois francs et vingt centimes). IV. Les frais du présent arrêt, par 990 fr. (neuf cent nonante francs), ainsi que l’indemnité due au défenseur d’office du recourant selon le chiffre III ci-dessus, sont mis à la charge d’R.________. V. Le remboursement à l'Etat de l'indemnité allouée au chiffre III ci-dessus sera exigible pour autant que la situation économique d’R.________ se soit améliorée. VI. Le présent arrêt est exécutoire. Le président :               Le greffier : Du L'arrêt qui précède, dont la rédaction a été approuvée à huis clos, est notifié, par l'envoi d'une copie complète, à : - M. Hüsnü Yilmaz, avocat (pour R.________), - Ministère public central, et communiqué à : - M. [...], ‑ Mme la Présidente du Tribunal des mesures de contrainte,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