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1064 vom 24. Dezember 2013</w:t>
      </w:r>
    </w:p>
    <w:p>
      <w:r>
        <w:t>VD Tribunal cantonal, 2013-12-24, FR</w:t>
      </w:r>
    </w:p>
    <w:p>
      <w:r>
        <w:rPr>
          <w:b/>
        </w:rPr>
        <w:t xml:space="preserve">Quelle: </w:t>
      </w:r>
      <w:r>
        <w:t>https://mcp.opencaselaw.ch/entscheid/vd_findinfo_D_cision___2013___1064</w:t>
      </w:r>
    </w:p>
    <w:p>
      <w:r>
        <w:t>FR: VD_FINDINFO Décision / 2013 / 1064 du 24 décembre 2013</w:t>
      </w:r>
    </w:p>
    <w:p>
      <w:r>
        <w:t>IT: VD_FINDINFO Décision / 2013 / 1064 del 24 dicembre 2013</w:t>
      </w:r>
    </w:p>
    <w:p>
      <w:pPr>
        <w:pStyle w:val="Heading2"/>
      </w:pPr>
      <w:r>
        <w:t>Regeste</w:t>
      </w:r>
    </w:p>
    <w:p>
      <w:r>
        <w:t>RISQUE DE COLLUSION, RISQUE DE FUITE, RISQUE DE RÉCIDIVE | 221 al. 1 let. a CPP (CH), 221 al. 1 let. b CPP (CH), 221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c) Au vu des éléments figurant au dossier et notamment de l’audition du prévenu du 20 septembre 2013, c’est à juste titre que le recourant ne conteste pas l’existence de soupçons suffisants.</w:t>
      </w:r>
    </w:p>
    <w:p>
      <w:r>
        <w:rPr>
          <w:b/>
        </w:rPr>
        <w:t>E. 3</w:t>
      </w:r>
    </w:p>
    <w:p>
      <w:r>
        <w:t>a) Le recourant conteste ensuite le risque de collusion. b) Ce risque existe notamment lorsqu’il est à craindre que l’intéressé ne mette sa liberté à profit pour faire disparaître ou altérer les preuves, ou qu’il prenne contact avec des témoins ou d’autres prévenus pour tenter d’influencer leurs déclarations (TF 1B_55/2010 du 11 mars 2010 c. 3.1). Le risque de collusion doit être étayé par des faits concrets et précis; la simple possibilité théorique que le prévenu se livre à des manoeuvres destinées à compromettre la recherche de la vérité ne suffit pas (ATF 132 I 21 c. 3.2; Schmocker, op. cit., n. 16 ad art. 221 CPP). c) En l’espèce, force est de constater que les faits reprochés à B.________ sont graves. L’instruction se poursuit sans désemparer et compte tenu de l’ampleur de l’enquête (cf. rapport de la police cantonale vaudoise du 31 juillet 2013), plusieurs opérations d’instruction lourdes doivent encore être effectuées, comme notamment l’analyse des contrôles téléphoniques (cf. requête du procureur du 3 décembre 2013, p. 2). Si le recourant venait à être libéré, il y a de forts risques pour qu’il prenne contact avec d’éventuels clients ou comparses non encore identifiés, notamment à Zurich, afin d’influencer leurs déclarations et qu’il compromette ainsi la recherche de la vérité. Partant, il n’est pas choquant de retenir l’existence d’un risque de collusion, même après plusieurs mois d’enquête. Le risque de collusion est manifestement réalisé.</w:t>
      </w:r>
    </w:p>
    <w:p>
      <w:r>
        <w:rPr>
          <w:b/>
        </w:rPr>
        <w:t>E. 3.5</w:t>
      </w:r>
    </w:p>
    <w:p>
      <w:r>
        <w:t>et 3.7, JT 2011 IV 325).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 3-4 pp. 18 ss; TF 1B_731/2011 du 16 janvier 2012 c. 3.1; TF 1B_133/2011 du 12 avril 2011 c. 4.7).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 c) En l’espèce, d’une part B.________ a des antécédents judiciaires; il ressort en effet de son casier judiciaire qu’il a déjà été condamné à de nombreuses reprises, dont une fois pour infraction à la LStup et une fois pour infraction grave à la LStup, soit des infractions similaires. Et, d’autre part, au vu de la très grande quantité de marijuana en cause, il s’agit d’un cas où la sécurité publique prime clairement sur la liberté personnelle de B.________. Le risque de réitération est ainsi réalisé.</w:t>
      </w:r>
    </w:p>
    <w:p>
      <w:r>
        <w:rPr>
          <w:b/>
        </w:rPr>
        <w:t>E. 4</w:t>
      </w:r>
    </w:p>
    <w:p>
      <w:r>
        <w:t>a) Le recourant conteste ensuite le risque de réitération. b) Il ressort de l'art. 221 al. 1 let. c CPP que le maintien en détention provisoire respectivement pour des motifs de sûreté se justifie notamment lorsqu'il y a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 4.5 p. 21; ATF 135 I 71 c. 2.3 p. 73; ATF 133 I 270 c. 2.2 p. 276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Cela étant, la mise en danger sérieuse de la sécurité d'autrui par le biais d'une menace de crime ou de délit grave peut se rapporter en principe à des biens juridiques de tous types, notamment la santé publique s'agissant d'infractions qualifiées à la LStup (cf. ATF 137 IV 84 c.</w:t>
      </w:r>
    </w:p>
    <w:p>
      <w:r>
        <w:rPr>
          <w:b/>
        </w:rPr>
        <w:t>E. 5</w:t>
      </w:r>
    </w:p>
    <w:p>
      <w:r>
        <w:t>Les conditions de la détention provisoire étant alternatives, la question d’un éventuel risque de fuite peut rester ouverte, dans la mesure où les conditions du maintien en détention sont réalisées par les risques de collusion et de réitération.</w:t>
      </w:r>
    </w:p>
    <w:p>
      <w:r>
        <w:rPr>
          <w:b/>
        </w:rPr>
        <w:t>E. 6</w:t>
      </w:r>
    </w:p>
    <w:p>
      <w:r>
        <w:t>Enfin,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la durée de la détention provisoire demeure proportionnée au vu de l’ampleur de l’activité délictueuse de B.________ et de la peine susceptible d’être prononcée en cas de condamnation et des opérations d’enquête restant à effectuer. En outre, aucune mesure de substitution n’est à même de prévenir les risques retenus.</w:t>
      </w:r>
    </w:p>
    <w:p>
      <w:r>
        <w:rPr>
          <w:b/>
        </w:rPr>
        <w:t>E. 7</w:t>
      </w:r>
    </w:p>
    <w:p>
      <w:r>
        <w:t>Il résulte de ce qui précède, que le recours, manifestement mal fondé, doit être rejeté sans autres échanges d’écritures. Les frais de la procédure de recours, constitués en l’espèce du seul émolument d'arrêt, par 990 fr. (art. 20 al. 1 TFJP [tarif des frais judiciaires pénaux; RSV 312.03.1]), seront mis à la charge du recourant, qui succombe (art. 428 al. 1 CPP). Par ces motifs, la Chambre des recours pénale, statuant à huis clos, prononce : I. Le recours est rejeté. II. L’ordonnance du 10 décembre 2013 est confirmée. III. Les frais du présent arrêt, par 990 fr. (neuf cent nonante francs), sont mis à la charge du recourant. IV. Le présent arrêt est exécutoire. Le président :               La greffière : Du L'arrêt qui précède, dont la rédaction a été approuvée à huis clos, est notifié, par l'envoi d'une copie complète, à : - Me Astyanax Peca, avocat (pour B.________), - Ministère public central, et communiqué à : - Mme la Présidente du Tribunal des mesures de contrainte,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