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1051 vom 19. Dezember 2013</w:t>
      </w:r>
    </w:p>
    <w:p>
      <w:r>
        <w:t>VD Tribunal cantonal, 2013-12-19, FR</w:t>
      </w:r>
    </w:p>
    <w:p>
      <w:r>
        <w:rPr>
          <w:b/>
        </w:rPr>
        <w:t xml:space="preserve">Quelle: </w:t>
      </w:r>
      <w:r>
        <w:t>https://mcp.opencaselaw.ch/entscheid/vd_findinfo_D_cision___2013___1051</w:t>
      </w:r>
    </w:p>
    <w:p>
      <w:r>
        <w:t>FR: VD_FINDINFO Décision / 2013 / 1051 du 19 décembre 2013</w:t>
      </w:r>
    </w:p>
    <w:p>
      <w:r>
        <w:t>IT: VD_FINDINFO Décision / 2013 / 1051 del 19 dicembre 2013</w:t>
      </w:r>
    </w:p>
    <w:p>
      <w:pPr>
        <w:pStyle w:val="Heading2"/>
      </w:pPr>
      <w:r>
        <w:t>Regeste</w:t>
      </w:r>
    </w:p>
    <w:p>
      <w:r>
        <w:t>DÉTENTION PRÉVENTIVE |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heures, au préjudice d’un auto-stoppeur, [...], qui hélait les automobilistes depuis environ une heure à Vevey. Des témoins l’avaient vu monter dans un véhicule dont ils avaient relevé le numéro de plaques, surpris par le fait que l’auto-stoppeur leur semblait avoir été introduit de force dans l’habitacle par des occupants de la voiture. Le détenteur du véhicule, [...], a été interpellé devant son domicile d’Epalinges au terme de la même nuit, vers 5 h 45. Il était alors en compagnie d’un tiers, [...], et du prévenu, qui se trouvaient dans la voiture. Des effets personnels de la victime étaient déposés dans le véhicule. W.________ a soutenu avoir passé la nuit à Lausanne, en dernier lieu au «MAD», où [...] serait venu le chercher vers 4 ou 5 heures. Le plaignant a dit reconnaître W.________ sur des photographies comme l’un de ses trois agresseurs, avec quelques réserves toutefois (PV de l’audition du 26 octobre 2013, p. 4, R. 7). Ce prévenu est cependant mis en cause sans réserve par les deux autres occupants de la voiture pour avoir été en leur compagnie dans l’automobile à Vevey déjà et pour avoir agressé la victime durant le trajet (cf. notamment le PV de l’audition de [...] du 26 octobre 2013 par la police, spéc. p. 3, R. 3; PV de l’audition de [...] du même jour, spéc. p. 4, R. 7; PV de l’audition de confrontation des trois prévenus du 6 novembre 2013, p. 3, R. 2). L’amie de ce prévenu, mère de sa fille, a dit l’avoir vu pour la dernière fois, le soir avant les faits, à 20 heures, à la Gare de Lausanne, voie 4 (ibid., D. 15). Les lésions infligées à la victime sont documentées par un rapport établi le</w:t>
      </w:r>
    </w:p>
    <w:p>
      <w:r>
        <w:rPr>
          <w:b/>
        </w:rPr>
        <w:t>E. 6</w:t>
      </w:r>
    </w:p>
    <w:p>
      <w:r>
        <w:t>novembre 2013 par le Centre universitaire romand de médecine légale. Elles sont compatibles avec la description des faits donnée par l’intéressé, qui a relevé avoir reçu de multiples coups de pied à la tête et aux côtes (cf. rapport précité, p. 7, 4 e par. depuis le bas). Il a expressément indiqué que trois personnes se trouvaient à bord du véhicule qui l’avait pris en stop. Ces indices convergents apparaissent largement suffisants, en l’état, pour étayer de graves soupçons de culpabilité à l’encontre du recourant quant aux faits qui lui sont reprochés dans la présente enquête. c)              Le recourant conteste en outre l'existence d'un risque suffisant de réitération. Les antécédents du prévenu portent sur une importante série d'infractions contre l’intégrité corporelle et contre le patrimoine, dont notamment celle de brigandage dont il lui est fait grief dans la présente procédure, sans même mentionner la nouvelle procédure pendante devant le Tribunal des mineurs. Il suffit de lire le jugement du Tribunal des mineurs du 4 décembre 2012 pour mesurer l’importante propension à la violence manifestée par l’intéressé, qui, par le passé, n’a pas hésité à s’en prendre de manière récurrente à l’intégrité physique de ses victimes en vue de les dépouiller de leurs biens et avoirs. A ceci s’ajoute que le détenu est sans activité et ne nourrit aucun projet professionnel, se limitant à faire part de son intention de percevoir des prestations d’assistance. Le risque de réitération du recourant apparaît ainsi d'autant plus sérieux au vu de la gravité des actes qui lui sont reprochés, qui semblent témoigner d’une recrudescence dans la violence, ainsi que du fait qu'il paraît également avoir agi avec deux comparses. Les infractions en question, dont la réitération peut être redoutée en l'espèce, compromettent sérieusement la sécurité d’autrui au sens de l'art. 221 al. 1 let. c CPP. L'intéressé paraissant être un délinquant d'habitude malgré son jeune âge, la jurisprudence fédérale précitée (TF 1B_344/2012 du 19 juin 2012 c. 3.2) est déterminante. Les conditions légales étant alternatives, et non cumulatives, point n’est besoin d’examiner les autres motifs légaux de la détention provisoire (TF 1B_249/2011 du 7 juin 2011 c. 2.4; Forster, op. cit., n. 4 ad art. 221 CPP, p. 1460). d)              Pour le reste, le principe de la proportionnalité est assurément respecté eu égard au rapport entre la durée de la détention provisoire déjà subie, respectivement à subir jusqu’au 28 février 2014, et la quotité de la peine privative de liberté dont le prévenu paraît passible. En particulier, vu l'avancée de l'enquête, la durée présumable de la mise en œuvre de l’expertise psychiatrique et du dépôt du rapport n’y change rien (ATF 133 I 168 c. 4.1 et les arrêts cités; ATF 132 I 21 c. 4.1; TF 1B_411/2011 du 31 août 2011 c. 4.1). Enfin, il apparaît en l’état qu’aucune mesure de substitution n'offre de garanties suffisantes, du moins tant que l’expertise psychiatrique prévue n’aura pas été déposée. 5. Il résulte de ce qui précède que c’est à bon droit que le Tribunal des mesures de contrainte a estimé que les conditions de la détention provisoire du prévenu étaient réunies en l'état. Partant, le recours, manifestement mal fondé, doit être rejeté sans autres échanges d’écritures (art. 390 al. 2 CPP). Les frais de la procédure de recours, constitués en l’espèce de l'émolument d'arrêt (art. 422 al. 1 CPP), par 990 fr. (art. 20 al. 1 TFJP [tarif des frais judiciaires pénaux; RSV 312.03.1]), et des frais imputables à la défense d’office (art. 422 al. 1 et 2 let. a CPP), fixés à 540 fr. plus la TVA, par 43 fr. 20, soit 583 fr. 20, seront mis à la charge du recourant qui succombe (art. 428 al. 1 CPP). L’indemnité d’office sera allouée à l’ancien défenseur, auteur du recours examiné dans le présent arrêt.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29 novembre 2013 est confirmée. III. L'indemnité allouée au précédent défenseur d'office de W.________ est fixée à 583 fr. 20 (cinq cent huitante-trois francs et vingt centimes). IV. Les frais du présent arrêt, par 990 fr. (neuf cent nonante francs), ainsi que l’indemnité due au précédent défenseur d’office du recourant selon le chiffre III ci-dessus, sont mis à la charge de W.________. V. Le remboursement à l'Etat de l'indemnité allouée au chiffre III ci-dessus sera exigible pour autant que la situation économique de W.________ se soit améliorée. VI. Le présent arrêt est exécutoire. Le président :               Le greffier : Du L'arrêt qui précède, dont la rédaction a été approuvée à huis clos, est notifié, par l'envoi d'une copie complète, à : - Mme Aude Bichovsky, avocate (précédent défenseur d’office de W.________), - M. Mirko Giorgini, avocat (pour W.________), - M. Julien Gafner, avocat (pour [...]),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