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1034 vom 6. Dezember 2013</w:t>
      </w:r>
    </w:p>
    <w:p>
      <w:r>
        <w:t>VD Tribunal cantonal, 2013-12-06, FR</w:t>
      </w:r>
    </w:p>
    <w:p>
      <w:r>
        <w:rPr>
          <w:b/>
        </w:rPr>
        <w:t xml:space="preserve">Quelle: </w:t>
      </w:r>
      <w:r>
        <w:t>https://mcp.opencaselaw.ch/entscheid/vd_findinfo_D_cision___2013___1034</w:t>
      </w:r>
    </w:p>
    <w:p>
      <w:r>
        <w:t>FR: VD_FINDINFO Décision / 2013 / 1034 du 6 décembre 2013</w:t>
      </w:r>
    </w:p>
    <w:p>
      <w:r>
        <w:t>IT: VD_FINDINFO Décision / 2013 / 1034 del 6 dicembre 2013</w:t>
      </w:r>
    </w:p>
    <w:p>
      <w:pPr>
        <w:pStyle w:val="Heading2"/>
      </w:pPr>
      <w:r>
        <w:t>Regeste</w:t>
      </w:r>
    </w:p>
    <w:p>
      <w:r>
        <w:t>CAS DE SÉQUESTRE, ORDONNANCE DE SÉQUESTRE, CONFISCATION{DROIT PÉNAL} | 263 al. 1 let. d CPP (CH), 263 CPP (CH), 393 al. 1 let. a CPP (CH)</w:t>
      </w:r>
    </w:p>
    <w:p>
      <w:pPr>
        <w:pStyle w:val="Heading2"/>
      </w:pPr>
      <w:r>
        <w:t>Erwägungen</w:t>
      </w:r>
    </w:p>
    <w:p>
      <w:r>
        <w:rPr>
          <w:b/>
        </w:rPr>
        <w:t>E. 1</w:t>
      </w:r>
    </w:p>
    <w:p>
      <w:r>
        <w:t>Interjeté en temps utile (art. 396 al. 1 CPP [Code de procédure pénale suisse, RS 312.0]) contre une ordonnance de séquestre du Ministère public (art. 263 CPP) (Bommer/ Goldschmid, in: Niggli/Heer/Wiprächtiger (éd.), Basler Kommentar, Schweizerische Strafprozessordnung, Jugendstrafprozessordnung, Bâle 2011, n. 66 ad art. 263 CPP), par le prévenu qui a qualité pour recourir (art. 382 al. 1 CPP), le recours est recevable.</w:t>
      </w:r>
    </w:p>
    <w:p>
      <w:r>
        <w:rPr>
          <w:b/>
        </w:rPr>
        <w:t>E. 2</w:t>
      </w:r>
    </w:p>
    <w:p>
      <w:r>
        <w:t>Bien que les recourants aient recouru contre les quatre ordonnances de séquestre, seules deux d’entre elles font l’objet de moyens développés dans le recours. Seuls ces griefs seront examinés. S’agissant du bien immobilier n° [...], propriété de L.________ SA, les recourants soutiennent que le lien pour justifier son séquestre ferait défaut, dès lors que cet immeuble a été acquis en 2000, soit antérieurement à la présente instruction, par la société [...] SA, ancienne raison sociale de L.________ SA. S’agissant des biens saisis à l’ancien domicile du prévenu, en particulier les bijoux appartenant à l’épouse de ce dernier, les recourants font valoir qu’il ne serait pas établi, même au seuil de la probabilité, que ces objets soient en relation avec les infractions reprochées à Z.________. Par ailleurs, ils considèrent que ce séquestre violerait le principe de la proportionnalité. a) Selon l’art. 263 al. 1 let. d CPP, des objets ou des valeurs patrimoniales appartenant au prévenu ou à des tiers peuvent être mis sous séquestre, lorsqu’il est probable qu’ils devront être confisqués. Une telle mesure est fondée sur la vraisemblance; elle porte sur des objets dont on peut admettre, prima facie, qu’ils pourront être confisqués en application du droit pénal fédéral. Tant que l’instruction n’est pas achevée, une simple probabilité suffit (cf. Moreillon/Parein-Reymond, Petit Commentaire du Code de procédure pénale, Bâle 2013, n. 20 ad art. 263 CPP), car, à l’instar de toute mesure provisionnelle, la saisie se rapporte à des prétentions encore incertaines. L’autorité doit pouvoir décider rapidement un séquestre provisoire (cf. art. 263 al. 2 CPP), ce qui exclut qu’elle résolve des questions juridiques complexes ou qu’elle attende, avant d’agir, d’être renseignée de manière exacte et complète sur les faits (ATF 116 Ia 96 c. 3a). Le séquestre pénal se justifie aussi longtemps que subsiste une probabilité de confiscation (SJ 1994 p. 90 et 102) et ne peut être levé que dans l’hypothèse où il est d’emblée manifeste et indubitable que les conditions matérielles d’une confiscation ne sont pas réalisées, et ne pourront l’être (TF 1B_127/2013 du 1 er mai 2013 c. 2). b) Aux termes de l’art. 70 al. 1 CP (Code pénal suisse du 21 décembre 1937, RS 311.0),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des valeurs patrimoniales a un caractère répressif. Elle tend à empêcher l’auteur de profiter du produit de l’infraction (ATF 106 IV 336 c.3b/aa, JT 1982 IV 102). c) Selon l’art. 71 CP, lorsque les valeurs patrimoniales à confisquer ne sont plus disponibles, le juge ordonne leur remplacement par une créance compensatrice de l'Etat d'un montant équivalent (al. 1). L'autorité d'instruction peut placer sous séquestre, en vue de l'exécution d'une créance compensatrice, des valeurs patrimoniales appartenant à la personne concernée (al. 2). Le droit fédéral autorise donc le séquestre en vue de l’exécution d’une créance compensatrice sur tous les biens de la personne visée, acquis de manière légale ou illégale, jusqu’à concurrence du montant présumé du produit de l’infraction. La mesure peut d’ailleurs viser le patrimoine d’un tiers, favorisé d’une manière ou d’une autre par l’infraction (Lembo/Julen Berthod, in : Kuhn/Jeanneret (éd.), Commentaire romand, Code de procédure pénale suisse, Bâle 2011, op. cit., n. 28 et les références citées). d) Conformément à l'art. 197 al. 1 CPP, le séquestre ne peut être ordonné qu'aux conditions suivantes : la mesure est prévue par la loi (let. a); des soupçons suffisants laissent présumer une infraction (let. b); les buts poursuivis ne peuvent pas être atteints par des mesures moins sévères (let. c) et la mesure apparaît justifiée au regard de la gravité de l'infraction (let. d) (Lembo/Julen Berthod, op. cit., n. 17 ad art. 263 CPP; Bommer/ Goldschmid, op. cit., n. 11 à 15 ante art. 263-268 CPP). Pour que le séquestre soit conforme au principe de proportionnalité (cf. art. 197 al. 1 let. c et d CPP et art. 36 al. 3 Cst. [Constitution fédérale de la Confédération suisse; RS 101]), il doit être apte à produire les résultats escomptés (règle de l’aptitude), ces derniers ne pouvant pas être atteints par une mesure moins incisive (règle de la nécessité); il faut, en outre, que la mesure n’emporte pas de limitation allant au-delà du but visé; enfin, il doit exister un rapport raisonnable entre le séquestre et les intérêts privés compromis, eu égard à la gravité de l’infraction et des charges qui pèsent sur le prévenu (principe de la proportionnalité au sens étroit) (Lembo/Julen Berthod, op. cit., n. 23 ad art. 263 CPP; Bommer/Goldschmid, op. cit., n. 23 ad art. 263 CPP). e) En l’espèce, en ce qui concerne le bien-fonds n° [...], il est exact que cet immeuble a été acquis en 2000 par la société [...] SA mais qui n’est autre que l’ancienne raison sociale de L.________ SA (cf. extrait du Registre du commerce, P. 29/2). On ne saurait ainsi soutenir que ce bien ait été acquis au moyen de fonds provenant de l’activité délictueuse du prévenu que la plainte situe entre 2004 et 2011. Toutefois, le Procureur a fondé le séquestre également sur l’art. 71 al. 3 CP, soit le séquestre en vue de garantir une créance compensatrice que le juge du fond pourrait prononcer à l’encontre de Z.________. Il est par ailleurs admis qu’une telle mesure peut également porter sur le patrimoine d’un tiers favorisé d’une manière ou d’une autre par l’infraction (cf. supra c. 2c). Or, dans le cas d’espèce, il est vraisemblable que cette hypothèse soit réalisée. Les recourants n’ont du reste pas élevé de griefs à l’encontre du séquestre des autres immeubles appartenant à la société L.________ SA. Par conséquent, c’est à bon droit que le Procureur a ordonné le séquestre du bien-fonds n° [...]. f) Enfin, s’agissant des bijoux appartenant à l’épouse du prévenu, il sied de rappeler que le séquestre peut porter sur toute chose obtenue de l’infraction ou en remploi de celle-ci, notamment lorsque le produit original de l’infraction est investi dans une chose corporelle (cf. Lembo/Julen Berthod, op. cit., n. 27 et les références citées). Or, à ce stade, il apparaît vraisemblable que les bijoux séquestrés aient été acquis par le prévenu au moyen du produit de son activité délictueuse. Au surplus, la mesure ordonnée ne paraît pas disproportionnée, notamment au regard de l’importance du dommage allégué par la plaignante et de la gravité des actes qui sont reprochés à Z.________. Par conséquent, les objets litigieux pourraient être confisqués en application de l’art. 70 CP, de sorte que le séquestre fondé sur l’art. 263 al. 1 let. d CPP est justifié.</w:t>
      </w:r>
    </w:p>
    <w:p>
      <w:r>
        <w:rPr>
          <w:b/>
        </w:rPr>
        <w:t>E. 3</w:t>
      </w:r>
    </w:p>
    <w:p>
      <w:r>
        <w:t>En définitive, le recours, manifestement mal fondé, doit être rejeté sans autres échanges d’écritures (390 al. 3 CPP) et les ordonnances entreprises confirmées. Les frais de la procédure de recours, constitués en l’espèce de l’émolument d’arrêt, par 770 fr. (art. 20 al. 1 TFJP [tarif des frais judiciaires pénaux; RSV 312.03.1]), seront mis à la charge des recourants qui succombent (art. 428 al. 1 CPP), par moitié et solidairement entre eux. Par ces motifs, la Chambre des recours pénale, statuant à huis clos, prononce : I. Le recours est rejeté. II. Les ordonnances du 15 novembre 2013 sont confirmées. III. Les frais du présent arrêt, par 770 fr. (sept cent septante francs), sont mis à la charge des recourants, Z.________ et L.________ SA, par moitié et solidairement entre eux. IV. Le présent arrêt est exécutoire. Le président :               La greffière : Du L'arrêt qui précède, dont la rédaction a été approuvée à huis clos, est notifié, par l'envoi d'une copie complète, à : - Me Robert Fox, avocat (pour Z.________ et L.________ SA), - Q.________ SA, - Ministère public central, et communiqué à : ‑ M. le Procureur du Ministère public central, division entraide, criminalité économique et informatique, - Registre foncier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