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1030 vom 13. Dezember 2013</w:t>
      </w:r>
    </w:p>
    <w:p>
      <w:r>
        <w:t>VD Tribunal cantonal, 2013-12-13, FR</w:t>
      </w:r>
    </w:p>
    <w:p>
      <w:r>
        <w:rPr>
          <w:b/>
        </w:rPr>
        <w:t xml:space="preserve">Quelle: </w:t>
      </w:r>
      <w:r>
        <w:t>https://mcp.opencaselaw.ch/entscheid/vd_findinfo_D_cision___2013___1030</w:t>
      </w:r>
    </w:p>
    <w:p>
      <w:r>
        <w:t>FR: VD_FINDINFO Décision / 2013 / 1030 du 13 décembre 2013</w:t>
      </w:r>
    </w:p>
    <w:p>
      <w:r>
        <w:t>IT: VD_FINDINFO Décision / 2013 / 1030 del 13 dicembre 2013</w:t>
      </w:r>
    </w:p>
    <w:p>
      <w:pPr>
        <w:pStyle w:val="Heading2"/>
      </w:pPr>
      <w:r>
        <w:t>Regeste</w:t>
      </w:r>
    </w:p>
    <w:p>
      <w:r>
        <w:t>DÉTENTION PRÉVENTIVE | 221 al. 1 let. b CPP (CH)</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w:t>
      </w:r>
    </w:p>
    <w:p>
      <w:r>
        <w:rPr>
          <w:b/>
        </w:rPr>
        <w:t>E. 2</w:t>
      </w:r>
    </w:p>
    <w:p>
      <w:r>
        <w:t>Selon l’art. 221 al. 1 CPP, la détention provisoire ne peut être ordonnée que lorsque le prévenu est fortement soupçonné d’avoir commis un crime ou un délit et qu’il y a sérieusement lieu de craindre (a) qu’il se soustraie à la procédure pénale ou à la sanction prévisible en prenant la fuite, ou (b) qu’il compromette la recherche de la vérité en exerçant une influence sur des personnes ou en altérant des moyens de preuve, ou encore (c) qu’il compromette sérieusement la sécurité d’autrui par des crimes ou des délits graves après avoir déjà commis des infractions du même genre.</w:t>
      </w:r>
    </w:p>
    <w:p>
      <w:r>
        <w:rPr>
          <w:b/>
        </w:rPr>
        <w:t>E. 3</w:t>
      </w:r>
    </w:p>
    <w:p>
      <w:r>
        <w:t>La mise en détention provisoire n’est possible que s’il existe, préalablement à toute autre cause, de graves soupçons de culpabilité d’avoir commis un crime ou un délit à l’égard de l’auteur présumé (TF 1B_182/2011 du 5 mai 2011 c. 3.1; Schmocker, in : Kuhn/Jeanneret [éd.], Commentaire romand, Code de procédure pénale suisse, Bâle 2011, nn. 7 ss ad art. 221 CPP, pp. 1024 ss). L'intensité des charges propres à motiver un maintien en détention préventive n'est pas la même aux divers stades de l'instruction pénale. S 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Traité de procédure pénale suisse, 2 e éd., Zurich 2006, n. 845; Schmocker, op. cit., n. 8 ad art. 221 CPP, p. 1025; Forster, in : Niggli/Heer/ Wiprächtiger [éd.], Basler Kommentar, Schweizerische Strafprozessordnung, 2011, n. 3 ad art. 221 CPP, pp. 1459 s.).</w:t>
      </w:r>
    </w:p>
    <w:p>
      <w:r>
        <w:rPr>
          <w:b/>
        </w:rPr>
        <w:t>E. 4</w:t>
      </w:r>
    </w:p>
    <w:p>
      <w:r>
        <w:t>a) En l’espèce, la décision attaquée se fonde sur le risque de collusion, les dangers de fuite et de réitération n’ayant pas été examinés faute d’objet. b) Le recourant a avoué consommer des stupéfiants, mais a nié tout acte de trafic. La perquisition effectuée à son domicile a permis de découvrir notamment des centaines de graines de chanvre, ainsi que plus de 23'000 fr. en espèces et des métaux précieux. En l’état, les graines de chanvre saisies peuvent raisonnablement être mises en relation avec un trafic, dès lors que leur quantité excède la consommation personnelle avouée par le prévenu. Au surplus, la provenance des valeurs saisies est pour l’heure inconnue. A ceci s’ajoute que les aveux du comparse supposé du prévenu et l’analyse de son boîtier téléphonique permettent de soupçonner le recourant d’avoir livré du chanvre au commerce dont l’acolyte en question était l’employé, étant ajouté qu’en l’état de l’enquête, ce magasin paraissait se livrer à la vente de boutures et de graines de chanvre sur une large échelle. Il existe donc de graves soupçons de culpabilité à l’égard du prévenu pour ce qui est d’infractions à la loi fédérale sur les stupéfiants, s’agissant d’un trafic portant principalement sur du chanvre. En outre, il a avoué être propriétaire de l’appareil à impulsions électriques («taser») et du couteau à cran d’arrêt saisis lors de la perquisition, l’un et l’autre de ces objets étant considérés comme des armes au sens de la législation fédérale en la matière. La condition préalable posée par l'art. 221 al. 1 CPP est ainsi à l’évidence remplie pour l’ensemble des infractions constituant l’objet de l’enquête. c)              Le recourant conteste l’existence d’un risque de collusion. A cet égard et comme déjà relevé, des indices convergents permettent, en l’état, de retenir que le prévenu est impliqué dans un trafic de chanvre. Pour l’heure, on ignore quels sont ses éventuels fournisseurs et autres clients, notamment s’il a livré des graines ou des boutures à d’autres individus qu’à l’employé et à l’exploitant de l’unique magasin actuellement au cœur de l’enquête. L’ampleur des avoirs de provenance encore indéterminée et la quantité de matériel végétal de reproduction saisis à son domicile donnent à penser qu’il pourrait s’agir d’un trafic d’une certaine ampleur. Il n’est donc nullement à exclure que l’enquête soit étendue à d’autres prévenus que les trois personnes mises en cause en l’état des investigations, dont deux sont déjà détenues. L’analyse du matériel électronique saisi est de nature à permettre d’en savoir plus sur les relations du recourant au sein d’un éventuel réseau. Dans ces conditions, il convient d’éviter que le recourant ne prenne contact avec ces tiers en liberté dans le dessein d’obtenir la destruction ou la dissimulation d’éventuels moyens de preuve, respectivement d’influencer leurs déclarations. La condition légale du risque de collusion est donc donnée. Les conditions légales étant alternatives, et non cumulatives, point n’est besoin d’examiner les autres motifs légaux de la détention provisoire (TF 1B_249/2011 du 7 juin 2011 c. 2.4; Forster, op. cit., n. 4 ad art. 221 CPP, p. 1460). d)              Pour le reste, le principe de la proportionnalité est assurément respecté eu égard au rapport entre la durée de la détention provisoire déjà subie, respectivement à subir jusqu’au 27 décembre 2013, et la quotité de la peine privative de liberté dont le prévenu paraît passible, l’enquête n’en étant du reste qu’à ses débuts (ATF 133 I 168 c.</w:t>
      </w:r>
    </w:p>
    <w:p>
      <w:r>
        <w:rPr>
          <w:b/>
        </w:rPr>
        <w:t>E. 4.1</w:t>
      </w:r>
    </w:p>
    <w:p>
      <w:r>
        <w:t>et les arrêts cités; ATF 132 I 21 c. 4.1; TF 1B_411/2011 du 31 août 2011 c. 4.1).</w:t>
      </w:r>
    </w:p>
    <w:p>
      <w:r>
        <w:rPr>
          <w:b/>
        </w:rPr>
        <w:t>E. 5</w:t>
      </w:r>
    </w:p>
    <w:p>
      <w:r>
        <w:t>Il résulte de ce qui précède que c’est à bon droit que le Tribunal des mesures de contrainte a estimé que les conditions de la détention provisoire du prévenu étaient réunies en l'état. Au surplus, le terme prévu ne prête pas le flanc à la critique au vu de l'avancée de l'enquête. Partant, le recours, manifestement mal fondé, doit être rejeté sans autres échanges d’écritures (art. 390 al. 2 CPP). Les frais de la procédure de recours, constitués en l’espèce de l'émolument d'arrêt (art. 422 al. 1 CPP), par 770 fr. (art. 20 al. 1 TFJP [tarif des frais judiciaires pénaux; RSV 312.03.1]), et des frais imputables à la défense d’office (art. 422 al. 1 et 2 let. a CPP), fixés à 450 fr. plus la TVA, par 36 fr., soit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29 novembre 2013 est confirmée. III. L'indemnité allouée au défenseur d'office d’F.________ est fixée à 486 fr. (quatre cent huitante-six francs). IV. Les frais du présent arrêt, par 770 fr. (sept cent septante francs), ainsi que l’indemnité due au défenseur d’office du recourant selon le chiffre III ci-dessus, sont mis à la charge d’F.________. V. Le remboursement à l'Etat de l'indemnité allouée au chiffre III ci-dessus sera exigible pour autant que la situation économique d’F.________ se soit améliorée. VI. Le présent arrêt est exécutoire. Le président :               Le greffier : Du L'arrêt qui précède, dont la rédaction a été approuvée à huis clos, est notifié, par l'envoi d'une copie complète, à : - M. Jean-Emmanuel Rossel, avocat (pour F.________), - Ministère public central, et communiqué à : ‑ Tribunal des mesures de contrainte,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