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1029 vom 12. November 2013</w:t>
      </w:r>
    </w:p>
    <w:p>
      <w:r>
        <w:t>VD Tribunal cantonal, 2013-11-12, FR</w:t>
      </w:r>
    </w:p>
    <w:p>
      <w:r>
        <w:rPr>
          <w:b/>
        </w:rPr>
        <w:t xml:space="preserve">Quelle: </w:t>
      </w:r>
      <w:r>
        <w:t>https://mcp.opencaselaw.ch/entscheid/vd_findinfo_D_cision___2013___1029</w:t>
      </w:r>
    </w:p>
    <w:p>
      <w:r>
        <w:t>FR: VD_FINDINFO Décision / 2013 / 1029 du 12 novembre 2013</w:t>
      </w:r>
    </w:p>
    <w:p>
      <w:r>
        <w:t>IT: VD_FINDINFO Décision / 2013 / 1029 del 12 novembre 2013</w:t>
      </w:r>
    </w:p>
    <w:p>
      <w:pPr>
        <w:pStyle w:val="Heading2"/>
      </w:pPr>
      <w:r>
        <w:t>Regeste</w:t>
      </w:r>
    </w:p>
    <w:p>
      <w:r>
        <w:t>OPPOSITION TARDIVE, ORDONNANCE DE CONDAMNATION, DÉCISION D'IRRECEVABILITÉ | 354 CPP (CH), 356 al. 2 CPP (CH), 393 al. 1 let. b CPP (CH), 85 CPP (CH), 90 CPP (CH)</w:t>
      </w:r>
    </w:p>
    <w:p>
      <w:pPr>
        <w:pStyle w:val="Heading2"/>
      </w:pPr>
      <w:r>
        <w:t>Erwägungen</w:t>
      </w:r>
    </w:p>
    <w:p>
      <w:r>
        <w:rPr>
          <w:b/>
        </w:rPr>
        <w:t>E. 1</w:t>
      </w:r>
    </w:p>
    <w:p>
      <w:r>
        <w:t>Le recours est interjeté contre un prononcé par lequel un tribunal de première instance (art. 393 al. 1 let. b CPP [Code de procédure pénale suisse du 5 octobre 2007 ; RS 312.0]), statuant sur la validité de l’opposition formée par le prévenu contre une ordonnance pénale rendue par le Ministère public (cf. art. 356 al.  2 CPP), déclare l’opposition irrecevable pour cause de tardiveté. Déposé en temps utile (art. 396 al. 1 CPP) par K.________, qui a qualité pour recourir (art. 382 al. 1 CPP) et dans les formes prescrites (art. 385 al. 1 CPP), le recours est recevable.</w:t>
      </w:r>
    </w:p>
    <w:p>
      <w:r>
        <w:rPr>
          <w:b/>
        </w:rPr>
        <w:t>E. 2</w:t>
      </w:r>
    </w:p>
    <w:p>
      <w:r>
        <w:t>CPP). b) En l’espèce, il ressort du dossier que l’ordonnance pénale du 14 août 2013 a été notifiée à K.________ par le Ministère public de l’arrondissement de l’Est vaudois par lettre signature le 14 août 2013 et que l’intéressé l’a retirée le 15 août 2013. Le délai de dix jours de l’art. 354 al. 1 CPP est arrivé à échéance le 25 août 2013, soit un dimanche. Dès lors, conformément à l’art. 90 al. 2 CPP, l’échéance du délai a été reportée au premier jour ouvrable qui suit, à savoir le 26 août 2013. Ayant été postée au plus tôt le 2 septembre 2013, soit plus de dix jours après la notification de l’ordonnance pénale, l’opposition de K.________ doit ainsi être considérée comme manifestement tardive. C’est donc à bon droit que le Tribunal de police de l’arrondissement de l’Est vaudois l’a déclarée irrecevable. On peut du reste relever que le recourant ne conteste pas la tardiveté de son opposition, mais plaide au fond.</w:t>
      </w:r>
    </w:p>
    <w:p>
      <w:r>
        <w:rPr>
          <w:b/>
        </w:rPr>
        <w:t>E. 3</w:t>
      </w:r>
    </w:p>
    <w:p>
      <w:r>
        <w:t>En définitive, le recours, manifestement mal fondé, doit être rejeté, sans autres échanges d'écritures (art. 390 al. 2 CPP), et le prononcé attaqué confirmé. Les frais de la procédure de recours, constitués en l'espèce du seul émolument d'arrêt (art. 422 al. 1 CPP), par 550 fr. (art. 20 al. 1 TFJP [Tarif des frais judiciaires pénaux du 28 septembre 2010, RSV 312.03.1]), seront mis à la charge du recourant qui succombe (art. 428 al. 1 CPP). Par ces motifs, la Chambre des recours pénale, statuant à huis clos, prononce : I. Le recours est rejeté. II. Le prononcé du 26 septembre 2013 est confirmé. III. Les frais d’arrêt, par 550 fr. (cinq cent cinquante francs), sont mis à la charge de K.________. IV. Le présent arrêt est exécutoire. Le président :               La greffière : Du L'arrêt qui précède, dont la rédaction a été approuvée à huis clos, est notifié, par l'envoi d'une copie complète, à : - K.________, - Ministère public central ; et communiqué à : ‑ Mme la Présidente du Tribunal d’arrondissement de l’Est vaudois, - M. le Procureur de l’arrondissement de l’Est vaudois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