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1027 vom 7. Oktober 2013</w:t>
      </w:r>
    </w:p>
    <w:p>
      <w:r>
        <w:t>VD Tribunal cantonal, 2013-10-07, FR</w:t>
      </w:r>
    </w:p>
    <w:p>
      <w:r>
        <w:rPr>
          <w:b/>
        </w:rPr>
        <w:t xml:space="preserve">Quelle: </w:t>
      </w:r>
      <w:r>
        <w:t>https://mcp.opencaselaw.ch/entscheid/vd_findinfo_D_cision___2013___1027</w:t>
      </w:r>
    </w:p>
    <w:p>
      <w:r>
        <w:t>FR: VD_FINDINFO Décision / 2013 / 1027 du 7 octobre 2013</w:t>
      </w:r>
    </w:p>
    <w:p>
      <w:r>
        <w:t>IT: VD_FINDINFO Décision / 2013 / 1027 del 7 ottobre 2013</w:t>
      </w:r>
    </w:p>
    <w:p>
      <w:pPr>
        <w:pStyle w:val="Heading2"/>
      </w:pPr>
      <w:r>
        <w:t>Regeste</w:t>
      </w:r>
    </w:p>
    <w:p>
      <w:r>
        <w:t>ABUS DE CONFIANCE, ESCROQUERIE, CHOSE CONFIÉE, ASTUCE, NON-LIEU | 138 ch. 1 CP, 146 al. 1 CP, 310 CPP (CH)</w:t>
      </w:r>
    </w:p>
    <w:p>
      <w:pPr>
        <w:pStyle w:val="Heading2"/>
      </w:pPr>
      <w:r>
        <w:t>Erwägungen</w:t>
      </w:r>
    </w:p>
    <w:p>
      <w:r>
        <w:rPr>
          <w:b/>
        </w:rPr>
        <w:t>E. 1</w:t>
      </w:r>
    </w:p>
    <w:p>
      <w:r>
        <w:t>let. a CPP), par la partie plaignante qui a qualité pour recourir (art. 382 al. 1 CPP). Interjeté de surcroît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Réprimant l’abus de confiance, l’art. 138 CP (Code pénal; RS 311.0)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(ch. 1, première phrase).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(Dupuis/Geller/ Monnier/Moreillon/Piguet/Bettex/Stoll [éd.], Petit commentaire CP, Bâle 2012,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Dupuis et alii, op. cit., n. 12 ad art. 138 CP). Ce que l’auteur reçoit pour lui-même et non en vue de le restituer ou de le transférer à un tiers ne peut être l’objet d’un abus de confiance (Dupuis et alii, op. cit., n. 15 ad art. 138 CP, et les références citées). Réprimant l’escroquerie, l’art. 146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 c) En l'espèce, il est établi que le recourant a passé un contrat de vente mobilière avec [...], portant sur une importante quantité de vin. Lui faisant, de son propre chef, crédit d’une partie du prix convenu, il lui a remis plusieurs bouteilles le 1 er juin 2013 sans avoir été entièrement désintéressé. Dans sa plainte, il expose en substance avoir été mis en confiance par le fait que ce même acheteur lui avait, dans un passé récent, payé comptant une importante livraison. Il a précisé qu’il avait eu des doutes quant à la solvabilité de l’intéressé lorsque ce dernier n’avait pas réagi à ses rappels et qu’il avait appris qu’il faisait l’objet de diverses poursuites pour un montant total de plus d’un million de francs. Il ne saurait y avoir chose confiée au sens de l’art. 138 CP en l’espèce, dès lors que l’intention commune des parties au contrat de vente était le transfert de la propriété des choses mobilières vendues à l’acheteur, et non leur usage par ce dernier selon des modalités déterminées. Sitôt entré en possession des bouteilles, l’acheteur n’avait donc aucun devoir de diligence sur l’objet du contrat envers le vendeur. A défaut de l’un des éléments constitutifs objectifs de l’infraction, l’abus de confiance ne saurait être retenu. Pour ce qui est de l’escroquerie, l’acheteur ne s’est pas abrité derrière un édifice de mensonges, pas plus qu’il a usé de tromperie dans une mesure particulière, notamment en donnant de fausses informations au vendeur dans le dessein de capter le crédit litigieux. Le plaignant aurait pu se prémunir contre le risque d’insolvabilité de l’acheteur en refusant de lui faire crédit, voire en consultant au préalable les registres de poursuites selon l’art. 8a al. 1 et 2 LP (loi fédérale sur la poursuite pour dettes et la faillite; RS 281.1). Le fait qu’il était alors en convalescence, et que l’acheteur le savait, comme il le plaide dans son recours, n’y change rien. En effet, il était en mesure de passer le contrat à l’origine du litige en défendant ses intérêts. Ce minimum d'attention et de prudence que l'on pouvait attendre du vendeur, s’agissant surtout d’une transaction portant sur un montant significatif, est de nature à exclure l’astuce, comme le retient la jurisprudence citée plus haut. A défaut de cet élément constitutif objectif de l’infraction, on ne saurait dès lors retenir davantage l’escroquerie. Aucune autre infraction contre le patrimoine n’entre au surplus en ligne de compte. Il apparaît bien plutôt, comme l’a relevé le Procureur, qu’il s’agit d’un litige exclusivement civil. d) Les éléments constitutifs d’aucune infraction n’étant manifestement réunies, c’est dès lors à bon droit que le Procureur a rendu une ordonnance de non-entrée en matière en application de l’art. 310 al. 1 let. a CPP.</w:t>
      </w:r>
    </w:p>
    <w:p>
      <w:r>
        <w:rPr>
          <w:b/>
        </w:rPr>
        <w:t>E. 3</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660 fr. (art. 20 al. 1 TFJP [tarif des frais judiciaires pénaux; RSV 312.03.1]), seront mis à la charge du recourant, qui succombe (art. 428 al. 1 CPP) . Par ces motifs, la Chambre des recours pénale, statuant à huis clos, prononce : I. Le recours est rejeté. II. L'ordonnance du 7 octobre 2013 est confirmée. III. Les frais du présent arrêt, par 660 fr. (six cent soixante francs), sont mis à la charge de X.________.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