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1008 vom 16. September 2013</w:t>
      </w:r>
    </w:p>
    <w:p>
      <w:r>
        <w:t>VD Tribunal cantonal, 2013-09-16, FR</w:t>
      </w:r>
    </w:p>
    <w:p>
      <w:r>
        <w:rPr>
          <w:b/>
        </w:rPr>
        <w:t xml:space="preserve">Quelle: </w:t>
      </w:r>
      <w:r>
        <w:t>https://mcp.opencaselaw.ch/entscheid/vd_findinfo_D_cision___2013___1008</w:t>
      </w:r>
    </w:p>
    <w:p>
      <w:r>
        <w:t>FR: VD_FINDINFO Décision / 2013 / 1008 du 16 septembre 2013</w:t>
      </w:r>
    </w:p>
    <w:p>
      <w:r>
        <w:t>IT: VD_FINDINFO Décision / 2013 / 1008 del 16 settembre 2013</w:t>
      </w:r>
    </w:p>
    <w:p>
      <w:pPr>
        <w:pStyle w:val="Heading2"/>
      </w:pPr>
      <w:r>
        <w:t>Regeste</w:t>
      </w:r>
    </w:p>
    <w:p>
      <w:r>
        <w:t>CLASSEMENT DE LA PROCÉDURE, FAUX INTELLECTUEL DANS LES TITRES, FAUX MATÉRIEL DANS LES TITRES | 251 ch. 1 CP, 319 CPP (CH), 393 al. 1 let. a CPP (CH)</w:t>
      </w:r>
    </w:p>
    <w:p>
      <w:pPr>
        <w:pStyle w:val="Heading2"/>
      </w:pPr>
      <w:r>
        <w:t>Erwägungen</w:t>
      </w:r>
    </w:p>
    <w:p>
      <w:r>
        <w:rPr>
          <w:b/>
        </w:rPr>
        <w:t>E. 1</w:t>
      </w:r>
    </w:p>
    <w:p>
      <w:r>
        <w:t>Les parties peuvent attaquer une ordonnance de classement rendue par le ministère public (cf. art. 319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Le recourant se plaint d’une violation du droit (art. 393 al. 2 CPP) et soutient que M.________ doit être mis en accusation pour faux dans les titres et usage de faux dans les titres. a) Selon l’art. 319 al. 1 CPP, le ministère public ordonne le classement de tout ou partie de la procédure notamment (let. a) lorsqu’aucun soupçon justifiant une mise en accusation n’est établi ou (let. b) lorsque les éléments constitutifs d’une infraction ne sont pas réunis. L’art. 319 al. 1 let. a CPP vise les cas où les soupçons initiaux qui ont conduit le ministère public à ouvrir une instruction (cf. art. 309 al. 1 let. a CPP) n’ont pas été confirmés (Grädel/Heiniger, in: Niggli/HeerlWiprächtiger (éd.), Basler Kommentar, Schweizerische Strafprozessordnung, Jugendstrafprozessordnung, Bâle 2011, n. 8 ad art. 319 CPP). Quant à l’art. 319 al. 1 let. b CPP, il vise les cas où le comportement incriminé, quand bien même il serait établi, ne réalise les éléments constitutifs objectifs et subjectifs d’aucune infraction pénale (Grädel/Heiniger, op. cit., n. 9 ad art. 319 CPP). b)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Selon l’art. 110 ch. 4 CP, est réputé titre tout écrit destiné ou propre à prouver un fait ayant une portée juridique et tout signe destiné à prouver un tel fait. L’art. 251 CP réprime aussi bien la création d’un titre faux ou la falsification d’un document (faux matériel) que l’établissement d’un écrit constatant un fait faux (faux intellectuel). Il y a création d’un titre faux (unecht, c’est-à-dire un titre qui n’est pas authentique) lorsqu’une personne crée un titre dont l’auteur réel ne coïncide pas avec l’auteur apparent (ATF 132 IV 57 c. 5.1.1) ou, en d’autres termes, en faisant apparaître un auteur qui n’est pas celui dont émane en réalité la pensée (Corboz, Les infractions en droit suisse, vol. lI, 3 e éd., 2010, n. 55 ad art. 251 CP). Selon la jurisprudence, un document comportant une signature authentique et un texte ajouté après coup par une tierce personne est un faux matériel (ATF 119 IV 234 c. 2b). Tel apparaît être le cas en l’espèce. En effet, la falsification consistant en l’ajout par M.________ sur le bon de commande, postérieurement à sa signature par A.________, des mentions supplémentaires de 40 heures consacrées à la création d’un site Internet et d’un prix de 7’770 fr., tend à faire croire, à tort, que le plaignant a approuvé l’ensemble de ces mentions par sa signature. c) Le faux dans les titres n’est punissable que s’il est commis intentionnellement. L’intention doit porter sur tous les éléments constitutifs de l’infraction. Le dol éventuel suffit (cf. ATF 135 IV 12 c. 2.2).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(ATF 79 IV 162 c.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(TF 6B_223/2012 du 14 décembre 2014 c. 2.4). Selon le Tribunal fédéral, est illicite l’avantage obtenu en matière de preuve au moyen d’un titre falsifié, même dans l’hypothèse où celui-ci doit permettre de faire triompher une prétention légitime (ATF 119 IV 234 c. 2c et les références citées). Ainsi, il y a dessein de se procurer un avantage illicite lorsque l’auteur entend par un faux faciliter la preuve en justice ou dans la vie des affaires d’une prétention qui existe véritablement (Corboz, op. cit., n. 183 ad art. 251 CP, et les références). En l’espèce, le prévenu obtenait incontestablement un avantage à falsifier le bon de commande puisqu’il disposait ainsi de la preuve documentée et signée d’un contrat d’entreprise précisant un travail et un prix défini, document qui était susceptible de constituer un titre à la mainlevée provisoire au sens de l’art. 82 al. 1 LP. Dans ces conditions, c’est à tort que le Procureur a considéré que le prévenu ne pouvait pas avoir le dessein de se procurer un avantage illicite.</w:t>
      </w:r>
    </w:p>
    <w:p>
      <w:r>
        <w:rPr>
          <w:b/>
        </w:rPr>
        <w:t>E. 3</w:t>
      </w:r>
    </w:p>
    <w:p>
      <w:r>
        <w:t>Il résulte de ce qui précède que le recours, fondé, doit être admis, l’ordonnance attaquée annulée et la cause renvoyée au Procureur de l’arrondissement de Lausanne pour qu’il examine la réalisation des éléments constitutifs de l’infraction de faux dans les titres et rende une nouvelle décision. Vu l’issue du recours, les frais de la procédure de recours, constitués en l’espèce de l’émolument d’arrêt (art. 422 al. 1 CPP), par 660 fr. (art. 20 al. 1 TFJP [tarif des frais judiciaires pénaux; RSV 312.03.1]), seront laissés à la charge de l’Etat (art. 423 al. 1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est annulée et la cause est renvoyée au Procureur de l’arrondissement de Lausanne pour qu’il procède dans le sens des considérants. III. Les frais d’arrêt, par 660 fr. (six cent soixante francs), sont laissés à la charge de l’Etat. IV. L’arrêt est exécutoire. Le président :               La greffière : Du L'arrêt qui précède, dont la rédaction a été approuvée à huis clos, est notifié, par l'envoi d'une copie complète, à : - Me Eduardo Redondo, avocat (pour A.________), - M.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