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993 vom 21. November 2012</w:t>
      </w:r>
    </w:p>
    <w:p>
      <w:r>
        <w:t>VD Tribunal cantonal, 2012-11-21, FR</w:t>
      </w:r>
    </w:p>
    <w:p>
      <w:r>
        <w:rPr>
          <w:b/>
        </w:rPr>
        <w:t xml:space="preserve">Quelle: </w:t>
      </w:r>
      <w:r>
        <w:t>https://mcp.opencaselaw.ch/entscheid/vd_findinfo_D_cision___2012___993</w:t>
      </w:r>
    </w:p>
    <w:p>
      <w:r>
        <w:t>FR: VD_FINDINFO Décision / 2012 / 993 du 21 novembre 2012</w:t>
      </w:r>
    </w:p>
    <w:p>
      <w:r>
        <w:t>IT: VD_FINDINFO Décision / 2012 / 993 del 21 novembre 2012</w:t>
      </w:r>
    </w:p>
    <w:p>
      <w:pPr>
        <w:pStyle w:val="Heading2"/>
      </w:pPr>
      <w:r>
        <w:t>Regeste</w:t>
      </w:r>
    </w:p>
    <w:p>
      <w:r>
        <w:t>ASSISTANCE JUDICIAIRE | 132 CPP (CH), 393 al. 1 let. a CPP (CH)</w:t>
      </w:r>
    </w:p>
    <w:p>
      <w:pPr>
        <w:pStyle w:val="Heading2"/>
      </w:pPr>
      <w:r>
        <w:t>Erwägungen</w:t>
      </w:r>
    </w:p>
    <w:p>
      <w:r>
        <w:rPr>
          <w:b/>
        </w:rPr>
        <w:t>E. 1</w:t>
      </w:r>
    </w:p>
    <w:p>
      <w:r>
        <w:t>a) Le recours d’I.________ est dirigé exclusivement contre le refus de désignation d’un défenseur d’office, le refus de désignation d’un conseil juridique gratuit n’étant pas contesté. b)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c) En l’espèce, il y a donc lieu d’entrer en matière sur le recours, qui a été interjeté en temps utile – compte tenu du fait que si le dernier jour du délai est un samedi, un dimanche ou un jour férié reconnu par le droit fédéral ou cantonal, le délai expire le premier jour ouvrable qui suit (art. 90 al. 2 CPP), soit en l’espèce le lundi 12 novembre 2012 –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 cette condition étant cumulative, comme cela ressort désormais de l’art. 132 al. 2 CPP (Harari/Aliberti, op. cit., n. 61 ad art. 132 CPP; TF 1B_359/2010 du 13 décembre 2010 c. 3.2) – des difficultés particulières du point de vue de l'établissement des faits ou des questions juridiques soulevées qu'il ne serait pas en mesure de résoudre seul (ATF 128 I 225 c. 2.5.2; ATF 120 Ia 43 c. 2a p. 44 et les références citées; TF 1B_477/2011 du 4 janvier 2012 c. 2.2). Selon la jurisprudence du Tribunal fédéral,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ATF 122 I 275 c. 3a et les arrêts cités; TF 1B_359/2010 du 13 décembre 2010 c. 3.2; TF 1B_195/2011 du 28 juin 2011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w:t>
      </w:r>
    </w:p>
    <w:p>
      <w:r>
        <w:rPr>
          <w:b/>
        </w:rPr>
        <w:t>E. 3</w:t>
      </w:r>
    </w:p>
    <w:p>
      <w:r>
        <w:t>a) En l’espèce, le recourant reproche d’abord à la Procureure d’avoir sursis à statuer sur sa requête en attendant l’issue du recours interjeté par R.________ contre la décision du 10 juillet 2012 rejetant la requête d’octroi de l’assistance judiciaire et de désignation d’un conseil juridique gratuit présentée par ce dernier, ce en quoi elle aurait fait preuve d’arbitraire et d’inopportunité (recours, p. 2-3). Toutefois, on ne voit pas quelle conséquence juridique le recourant entend en tirer, d’autant que selon le procès-verbal des opérations, c’est d’entente avec son conseil qu’il a été convenu le 29 août 2012 de surseoir à la décision et que le recourant ne s’est pas plaint d’un retard injustifié (cf. art. 396 al. 2 CPP). b) Le recourant soutient qu’il ne ferait aucun doute qu’il est passible d’une peine privative de liberté de plus de quatre mois, de sorte que la première condition posée par l’art. 132 al. 2 CPP serait remplie (recours, p. 5-6). En outre, la cause présenterait des difficultés de fait et de droit nécessitant l’assistance d’un défenseur, de sorte que la seconde condition posée par l’art. 132 al. 2 CPP serait également remplie (recours, p. 7-10). Le recourant est prévenu de lésions corporelles simples et menaces pour avoir, le 2 décembre 2011, frappé R.________ et l’avoir menacé avec un couteau. En outre, le Ministère public paraît le soupçonner d’être l’un des quatre individus qui, le 25 décembre 2011, auraient sprayé R.________ au visage au moyen d’un spray au poivre, avant de le rouer de coups. Si les faits – que le recourant conteste, exposant notamment qu’il n’aurait jamais utilisé de couteau, mais uniquement tenu à la main ses clés d’automobile – étaient avérés, ils pourraient valoir au recourant une condamnation à une peine privative de liberté de quelques semaines à quelques mois, sans que l’on puisse affirmer à ce stade que la peine serait supérieure à quatre mois. Cela étant, la cause ne présente pas de difficultés particulières en fait ni en droit. Le fait que les principaux protagonistes présentent des versions des faits diamétralement opposées et que les versions des autres personnes entendues comportent également des divergences sur le déroulement des faits (cf. recours, p. 8) n’infirme pas la constatation que les faits sont en eux-mêmes simples et qu’il appartiendra au juge d’apprécier les preuves pour établir l’état de fait. Au surplus, l’appréciation juridique de ces faits au regard des chefs d’accusation de lésions corporelles simples et de menaces ne présente pas de difficultés particulières, que le prévenu ne pourrait pas surmonter seul. Le fait que le recourant revête à la fois la qualité de prévenu et celle de partie plaignante n’est pas pertinent pour apprécier s’il a besoin d’un défenseur pour sauvegarder ses intérêts en tant que prévenu. De même, le fait que la procédure concerne également une troisième personne, soit A.________, s’il « alourdit » la procédure, n’est pas source de difficultés juridiques supplémentaires pour le recourant qui n’est pas impliqué dans les faits reprochés à A.________ (cf. recours, p. 7). Dans ces conditions, le seul fait que R.________, partie plaignante s’agissant des infractions reprochées au recourant, soit assisté d’un avocat ne justifie pas la désignation d’un défenseur d’office au recourant. d) Il résulte de ce qui précède que, en l’absence d’un cas de défense obligatoire et dès lors que la réalisation de l’une des conditions cumulatives d’une défense d’office selon l’art. 132 let. b CPP tel que précisé par l’art. 132 al. 2 et 3 CPP – à savoir que l’assistance d’un avocat soit nécessaire – fait défaut, la Procureure ad interim était fondée à refuser de désigner un défenseur d’office au recourant, sans avoir à examiner si la deuxième condition posée par l’art. 132 let. b CPP – à savoir que le prévenu ne dispose pas des moyens nécessaires – était réalisée (cf. recours, p. 3-5). Cela étant, à supposer que l'instruction permette d'établir que les faits reprochés à I.________ sont plus graves que ceux retenus à ce stade, la question de la désignation d'un défenseur d'office devra être réexaminée.</w:t>
      </w:r>
    </w:p>
    <w:p>
      <w:r>
        <w:rPr>
          <w:b/>
        </w:rPr>
        <w:t>E. 4</w:t>
      </w:r>
    </w:p>
    <w:p>
      <w:r>
        <w:t>En définitive, manifestement mal fondé, le recours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Les frais de la procédure de recours, constitués en l’espèce du seul émolument d'arrêt, par 880 fr. (art. 20 al. 1 TFJP; RSV 312.03.1), seront mis à la charge du recourant, qui succombe (art. 428 al. 1 CPP).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880 fr. (huit cent huitante francs), sont mis à la charge d'I.________. V. L'arrêt est exécutoire. Le président :               La greffière : Du L'arrêt qui précède, dont la rédaction a été approuvée à huis clos, est notifié, par l'envoi d'une copie complète, à : - M. Tony Donnet-Monay, avocat (pour I.________), - Ministère public central; et communiqué à : ‑ Mme la Procureure par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