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972 vom 13. November 2012</w:t>
      </w:r>
    </w:p>
    <w:p>
      <w:r>
        <w:t>VD Tribunal cantonal, 2012-11-13, FR</w:t>
      </w:r>
    </w:p>
    <w:p>
      <w:r>
        <w:rPr>
          <w:b/>
        </w:rPr>
        <w:t xml:space="preserve">Quelle: </w:t>
      </w:r>
      <w:r>
        <w:t>https://mcp.opencaselaw.ch/entscheid/vd_findinfo_D_cision___2012___972</w:t>
      </w:r>
    </w:p>
    <w:p>
      <w:r>
        <w:t>FR: VD_FINDINFO Décision / 2012 / 972 du 13 novembre 2012</w:t>
      </w:r>
    </w:p>
    <w:p>
      <w:r>
        <w:t>IT: VD_FINDINFO Décision / 2012 / 972 del 13 novembre 2012</w:t>
      </w:r>
    </w:p>
    <w:p>
      <w:pPr>
        <w:pStyle w:val="Heading2"/>
      </w:pPr>
      <w:r>
        <w:t>Regeste</w:t>
      </w:r>
    </w:p>
    <w:p>
      <w:r>
        <w:t>DÉCISION D'IRRECEVABILITÉ, RETARD, PLAINTE PÉNALE | 173 CP, 31 CP,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 Kuhn/Jeanneret [éd.], Code de procédure pénale suisse, Commentaire romand, Bâle 2011, n. 5 ad art. 310 CPP, p. 1411). En particulier, la tardiveté d'une plainte constitue un motif de non-entrée en matière selon l'art. 310 al. 1 let. a in fine CPP, pour autant qu'aucune infraction poursuivie d'office ne soit en cause (cf. notamment CREP 24 octobre 2012/682 et CREP 4 septembre 2012/543).</w:t>
      </w:r>
    </w:p>
    <w:p>
      <w:r>
        <w:rPr>
          <w:b/>
        </w:rPr>
        <w:t>E. 3</w:t>
      </w:r>
    </w:p>
    <w:p>
      <w:r>
        <w:t>a) En l'espèce, seules l'une des dispositions réprimant une atteinte à l'honneur est susceptible de sanctionner le comportement dénoncé par le plaignant. Les délits contre l'honneur ne se poursuivent que sur plainte (art. 173 ss CP [Code pénal suisse du 21 décembre 1937; RS 311.0]). Aux termes de l'art. 31 CP, le droit de porter plainte se prescrit par trois mois, le délai courant du jour où l’ayant droit a connu l’auteur de l’infraction. Lorsque le respect de ce délai par le plaignant est litigieux, c'est à lui qu'il appartient d'en apporter la preuve (Code pénal annoté, Lausanne 2007, 3 ème éd., n. 1.1 ad art. 31 CP, p. 129). b) En l'espèce, la question du respect du délai de trois mois pour porter plainte fixé par l'art. 31 CP demeure litigieuse. En effet, ni la plainte d'O.________, ni les explications complémentaires qu'il a fournies à la requête de la Procureure dans son courrier du 7 septembre 2012 ne permettent de déterminer la date à laquelle les accusations dont il se plaint auraient été portées à son encontre. De surcroît, on ne voit pas quelle mesure d'instruction complémentaire serait susceptible de permettre au Ministère public de déterminer la date des infractions, dès lors que même le plaignant – qui est le principal concerné et qui a formellement été invité à renseigner le Ministère public – s'est révélé dans l'incapacité de fournir des indications à ce propos. S'agissant d'infractions qui ne se poursuivent que sur plainte, c'est à juste titre que la Procureure a considéré que la poursuite n'était pas recevable dès lors qu'elle n'avait aucun moyen d'exclure que la plainte était tardive. L'ordonnance de non-entrée en matière devant être confirmée pour ce motif déjà, la question de savoir si les indications fournies par le recourant auraient dû permettre au Ministère public d'identifier formellement le dénommé U.________ peut rester ouverte.</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L'ordonnance du 13 septembre 2012 est confirmée. III. Les frais d'arrêt, par 550 fr. (cinq cent cinquante francs), sont mis à la charge d'O.________. IV. L'arrêt est exécutoire. Le président :               La greffière : Du L'arrêt qui précède, dont la rédaction a été approuvée à huis clos, est notifié, par l'envoi d'une copie complète, à : - M. O.________,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