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958 vom 24. Oktober 2012</w:t>
      </w:r>
    </w:p>
    <w:p>
      <w:r>
        <w:t>VD Tribunal cantonal, 2012-10-24, FR</w:t>
      </w:r>
    </w:p>
    <w:p>
      <w:r>
        <w:rPr>
          <w:b/>
        </w:rPr>
        <w:t xml:space="preserve">Quelle: </w:t>
      </w:r>
      <w:r>
        <w:t>https://mcp.opencaselaw.ch/entscheid/vd_findinfo_D_cision___2012___958</w:t>
      </w:r>
    </w:p>
    <w:p>
      <w:r>
        <w:t>FR: VD_FINDINFO Décision / 2012 / 958 du 24 octobre 2012</w:t>
      </w:r>
    </w:p>
    <w:p>
      <w:r>
        <w:t>IT: VD_FINDINFO Décision / 2012 / 958 del 24 ottobre 2012</w:t>
      </w:r>
    </w:p>
    <w:p>
      <w:pPr>
        <w:pStyle w:val="Heading2"/>
      </w:pPr>
      <w:r>
        <w:t>Regeste</w:t>
      </w:r>
    </w:p>
    <w:p>
      <w:r>
        <w:t>DÉFENSE D'OFFICE | 132 al. 1 let. b CPP (CH), 393 al. 1 let. a CPP (CH)</w:t>
      </w:r>
    </w:p>
    <w:p>
      <w:pPr>
        <w:pStyle w:val="Heading2"/>
      </w:pPr>
      <w:r>
        <w:t>Erwägungen</w:t>
      </w:r>
    </w:p>
    <w:p>
      <w:r>
        <w:rPr>
          <w:b/>
        </w:rPr>
        <w:t>E. 1</w:t>
      </w:r>
    </w:p>
    <w:p>
      <w:r>
        <w:t>a) Aux termes de l’art. 393 al. 1 let. a CPP, le recours est recevable contre les décisions et les actes de procédure de la police, du Ministère public et des autorités pénales compétentes en matière de contraventions.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par écrit, dans un délai de dix jours dès la notification de la décision attaquée (cf. art. 384 let. b CPP), auprès de l’autorité de recours (cf.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qui satisfait aux conditions de forme posées par l’art. 385 al. 1 CPP.</w:t>
      </w:r>
    </w:p>
    <w:p>
      <w:r>
        <w:rPr>
          <w:b/>
        </w:rPr>
        <w:t>E. 2</w:t>
      </w:r>
    </w:p>
    <w:p>
      <w:r>
        <w:t>a) Selon l’art. 132 al. 1 CPP, la direction de la procédure ordonne une défense d’office dans les deux hypothèses suivantes: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(let. a); ou si le prévenu ne dispose pas des moyens nécessaires et que l’assistance d’un défenseur est justifiée pour sauvegarder ses intérêts (let. b).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également être désigné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 4 janvier 2012 c. 2.2). Selon cette jurisprudence, rendue sur la base des art. 29 al. 3 Cst. (Constitution fédérale de la Confédération suisse du 18 avril 1999; RS 101) et 6 par. 3 let. c CEDH (Convention du 4 novembre 1950 de sauvegarde des droits de l’homme et des libertés fondamentales; RS 0.101),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128 I 225 c. 2.5.2; ATF 120 Ia 43 c. 2a et les références citées; TF 1B_477/2011 du 4 janvier 2012 c. 2.2). Si les deux conditions mentionnées à l'art. 132 al. 2 CPP doivent être réunies cumulativement (Harari/Aliberti, op. cit., n. 61 ad art. 132 CPP; TF 1B_359/2010 du 13 décembre 2010 c. 3.2),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1B_477/2011 du 4 janvier 2012 c. 2.2, avec référence à Harari/Aliberti, op. cit., n. 64 ad art. 132 CPP, à Ruckstuhl, op. cit., n. 36 ad art. 132 CPP, et à Lieber, in: Donatsch/Hansjakob/Lieber (éd.), Kommentar zur Schweizerischen Strafprozessordnung, 2010, n. 16 ad art. 132 CPP). c) En l'espèce, l’on ne se trouve pas dans un cas de défense obligatoire, mais dans un cas de défense facultative, de sorte que la défense d'office ne doit être ordonnée que si les conditions de l'art. 132 al. 1 let. b CPP sont réalisées. S'agissant de la première condition – celle de l'indigence – elle peut rester ouverte au vu de ce qui suit. Il s'agit d'examiner si l'assistance d’un défenseur est justifiée pour sauvegarder les intérêts de la recourante au sens de l'art. 132 al. 1 let. b CPP. A cet égard, la recourante a fait valoir de nombreux arguments qui, selon elle, commanderaient de répondre à la question précitée par l'affirmative. En premier lieu, la recourante considère que la cause présente des difficultés sur le plan des faits et du droit, en particulier en raison des infractions retenues qui, selon elle, nécessiteraient un examen approfondi au niveau du droit. Il sied de rappeler que la recourante est prévenue de calomnie, subsidiairement diffamation, injure et utilisation abusive d'une installation de télécommunication. Toutefois, deux des plaintes qui ont été déposées contre la recourante ont été retirées en cours de procédure à la suite d'une conciliation entre les parties. Il demeure la plainte de A.L.________ qui est étroitement liée aux procédures civiles qui divisent les parties, en particulier celle ouverte devant la Justice de paix en relation avec leur fils B.L.________. Dans le cadre de sa plainte, A.L.________ reproche à son ex-compagne de l'avoir harcelé par téléphone et par SMS au sujet de leur fils, ainsi que d'avoir publié sur [...] qu'il avait kidnappé leur enfant. Entendue à cet égard, la recourante a reconnu avoir téléphoné très régulièrement à A.L.________ entre le mois de février et d'avril 2012 et lui avoir envoyé des SMS à caractère injurieux. Elle a expliqué avoir agi sous le coup de l'émotion et du fait qu'elle était alors désespérée. Elle s'est néanmoins engagée à ne plus prendre contact avec A.L.________ que ce soit par téléphone ou par SMS. En relation avec la mention de l'enlèvement sur [...], d'une part, elle a confirmé la suppression de tous propos à cet égard sur le site internet concerné, et d'autre part, elle a expliqué son geste par le fait qu'elle recherchait de l'aide de tierce personne étant donné qu'elle ne connaissait personne en Suisse. Compte tenu de ce qui précède, force est de constater que les faits sont largement admis par la recourante, qu'ils se sont déroulés sur une période limitée – soit entre le mois de février et d'avril 2012 – et qu'ils sont la résultante d'un profond conflit familial qui divise les parties. Cela étant, du point de vue des faits de la cause, l'assistance d'un défenseur d'office n'apparaît pas nécessaire pour sauvegarder les intérêts de la recourante. Dans le même sens, la qualification juridique du comportement de la recourante ne présente pas de difficultés telles qu'une défense d'office devrait être ordonnée. Dans un second moyen, la recourante fait valoir que la cause n'est pas de peu de gravité dans la mesure où l'issue de celle-ci pourrait être déterminante sur la procédure civile en relation avec la garde de son fils et sur son droit à séjourner en Suisse. Si les deux éléments cités par la recourante sont considérés, par la doctrine et la jurisprudence, comme des motifs justifiant l'intervention d'un défenseur d'office au sens de l'art. 132 al. 2 CPP, ils n'apparaissent toutefois pas relevants dans le cas d'espèce. En effet, sur le plan du droit de garde, le fait qu'il soit reproché à la recourante d'avoir harcelé A.L.________ et les époux [...], lesquels étaient proches et s'occupaient de son fils, peut s'expliquer dans la mesure où elle celle-ci aurait été expulsée de chez elle et privée de voir son enfant durant plusieurs semaines. Quant à son droit de séjour, on ne saurait considérer que, de par son comportement, la recourante a attenté de manière grave à la sécurité ou à l'ordre publics en Suisse, motif qui pourrait justifier la révocation de son autorisation de séjour. Ainsi, l'issue de la présente procédure pénale ne saurait être considérée comme déterminante sur le sort de la procédure civile en relation avec la garde de son fils et sur le sort d'une éventuelle procédure administrative relative à son droit de séjour. En outre, la recourante considère que la cause n'est pas de peu de gravité au sens de l'art. 132 al. 2 CPP dans la mesure où les infractions contre l'honneur qui sont retenues à son encontre sont toutes deux passibles d'une peine pécuniaire supérieure à 120 jours-amende et qu'un concours entre les infractions à l'honneur et l'utilisation abusive d'une installation de télécommunication ne serait pas exclu par la doctrine. La recourante perd cependant de vue le fait que la peine dont le prévenu est "passible" (cf. art. 132 al. 3 CPP) doit s'interpréter à la lumière des circonstances objectives du cas d'espèce et non en tenant compte de la peine maximale prévue par la loi. Or la peine encourue par la recourante en l'espèce ne saurait être supérieure à quatre mois, respectivement 120 jours-amende. L'affaire doit donc être considérée comme de peu de gravité au sens de l'art. 132 al. 3 CPP. La recourante fait en outre valoir que la désignation d'un défenseur d'office serait nécessaire pour garantir l'égalité des armes. Elle explique que bien que A.L.________ ne soit pas encore formellement assisté, il ressort des pièces du dossier que l'avocate qui l'assiste au plan civil le conseillerait également dans le cadre de la présente procédure. A cet égard, force est de constater qu'à ce stade de la procédure, A.L.________ n'est pas formellement assisté d'un conseil. On se convainc de ce fait non seulement en examinant les pièces du dossier, mais également dans la mesure où A.L.________ n'était pas assisté lors de l'audience de conciliation du 2 octobre 2012. Compte tenu du fait que le plaignant n'est pas assisté, la recourante ne saurait se prévaloir valablement du principe de l'égalité des armes. Finalement, dans un dernier moyen, la recourante indique ne pas maîtriser suffisamment la langue française pour comprendre tous les tenants et aboutissants de cette procédure. A l'examen du dossier, on constate qu'aucun interprète n'est intervenu dans le cadre des auditions de la Procureure, lesquelles ont été conduites en langue française. Dès lors, il apparaît que la recourante maîtrise suffisamment le français pour être à même de sauvegarder ses intérêts sans le concours d'un défenseur d'office. d) Sur la base de ce qui précède, l’assistance d’un défenseur n’apparaît pas nécessaire à la sauvegarde des intérêts de la recourante et l’ordonnance de refus de désignation d’un défenseur d’office rendue le 3 octobre 2012 par la Procureure échappe à la critique.</w:t>
      </w:r>
    </w:p>
    <w:p>
      <w:r>
        <w:rPr>
          <w:b/>
        </w:rPr>
        <w:t>E. 3</w:t>
      </w:r>
    </w:p>
    <w:p>
      <w:r>
        <w:t>Il s'ensuit que le recours, manifestement mal fondé, doit être rejeté sans autres échanges d’écritures (art. 390 al. 2 CPP).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Les frais de la procédure de recours, constitués en l’espèce du seul émolument d'arrêt, par 990 fr. (art. 20 al. 1 TFJP; RSV 312.03.1), seront mis à la charge de la recourante, qui succombe (art. 428 al. 1 CPP). Par ces motifs, la Chambre des recours pénale, statuant à huis clos, prononce : I. Le recours est rejeté. II. L'ordonnance attaquée est confirmée. III. La requête tendant à la désignation d'un défenseur d'office pour la procédure de recours est rejetée. IV. Les frais de la procédure de recours, par 990 fr. (neuf cent nonante francs), sont mis à la charge d'E.________. V. Le présent arrêt est exécutoire. Le président :               Le greffier : Du L'arrêt qui précède, dont la rédaction a été approuvée à huis clos, est notifié, par l'envoi d'une copie complète, à : - M. Nicolas Rouiller, avocat (pour E.________),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